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405D78">
      <w:pPr>
        <w:pStyle w:val="2"/>
        <w:keepNext w:val="0"/>
        <w:keepLines w:val="0"/>
        <w:widowControl/>
        <w:suppressLineNumbers w:val="0"/>
        <w:spacing w:before="50" w:beforeAutospacing="0" w:after="50" w:afterAutospacing="0"/>
        <w:ind w:left="0" w:right="0" w:firstLine="0"/>
        <w:jc w:val="center"/>
        <w:rPr>
          <w:rFonts w:hint="eastAsia" w:ascii="仿宋_GB2312" w:hAnsi="仿宋_GB2312" w:eastAsia="仿宋_GB2312" w:cs="仿宋_GB2312"/>
          <w:b/>
          <w:bCs/>
          <w:i w:val="0"/>
          <w:caps w:val="0"/>
          <w:color w:val="000000"/>
          <w:spacing w:val="0"/>
          <w:sz w:val="32"/>
          <w:szCs w:val="32"/>
        </w:rPr>
      </w:pPr>
      <w:bookmarkStart w:id="0" w:name="_GoBack"/>
      <w:bookmarkEnd w:id="0"/>
      <w:r>
        <w:rPr>
          <w:rFonts w:hint="eastAsia" w:ascii="仿宋_GB2312" w:hAnsi="仿宋_GB2312" w:eastAsia="仿宋_GB2312" w:cs="仿宋_GB2312"/>
          <w:b/>
          <w:bCs/>
          <w:i w:val="0"/>
          <w:caps w:val="0"/>
          <w:color w:val="000000"/>
          <w:spacing w:val="0"/>
          <w:sz w:val="32"/>
          <w:szCs w:val="32"/>
          <w:lang w:val="en-US" w:eastAsia="zh-CN"/>
        </w:rPr>
        <w:t>泉州市光前医院食堂服务管理项目</w:t>
      </w:r>
      <w:r>
        <w:rPr>
          <w:rFonts w:hint="eastAsia" w:ascii="仿宋_GB2312" w:hAnsi="仿宋_GB2312" w:eastAsia="仿宋_GB2312" w:cs="仿宋_GB2312"/>
          <w:b/>
          <w:bCs/>
          <w:i w:val="0"/>
          <w:caps w:val="0"/>
          <w:color w:val="000000"/>
          <w:spacing w:val="0"/>
          <w:sz w:val="32"/>
          <w:szCs w:val="32"/>
        </w:rPr>
        <w:t>评标方法和标准</w:t>
      </w:r>
    </w:p>
    <w:p w14:paraId="0AAE099B">
      <w:pPr>
        <w:pStyle w:val="2"/>
        <w:keepNext w:val="0"/>
        <w:keepLines w:val="0"/>
        <w:pageBreakBefore w:val="0"/>
        <w:widowControl/>
        <w:suppressLineNumbers w:val="0"/>
        <w:kinsoku/>
        <w:wordWrap/>
        <w:overflowPunct/>
        <w:topLinePunct w:val="0"/>
        <w:autoSpaceDE/>
        <w:autoSpaceDN/>
        <w:bidi w:val="0"/>
        <w:adjustRightInd/>
        <w:snapToGrid/>
        <w:spacing w:before="50" w:beforeAutospacing="0" w:after="50" w:afterAutospacing="0" w:line="560" w:lineRule="exact"/>
        <w:ind w:left="0" w:right="0" w:firstLine="0"/>
        <w:textAlignment w:val="auto"/>
        <w:rPr>
          <w:rFonts w:hint="eastAsia" w:ascii="黑体" w:hAnsi="黑体" w:eastAsia="黑体" w:cs="黑体"/>
          <w:i w:val="0"/>
          <w:caps w:val="0"/>
          <w:color w:val="000000"/>
          <w:spacing w:val="0"/>
          <w:sz w:val="28"/>
          <w:szCs w:val="28"/>
          <w:lang w:val="en-US" w:eastAsia="zh-CN"/>
        </w:rPr>
      </w:pPr>
    </w:p>
    <w:p w14:paraId="139694AC">
      <w:pPr>
        <w:pStyle w:val="2"/>
        <w:keepNext w:val="0"/>
        <w:keepLines w:val="0"/>
        <w:pageBreakBefore w:val="0"/>
        <w:widowControl/>
        <w:suppressLineNumbers w:val="0"/>
        <w:kinsoku/>
        <w:wordWrap/>
        <w:overflowPunct/>
        <w:topLinePunct w:val="0"/>
        <w:autoSpaceDE/>
        <w:autoSpaceDN/>
        <w:bidi w:val="0"/>
        <w:adjustRightInd/>
        <w:snapToGrid/>
        <w:spacing w:before="50" w:beforeAutospacing="0" w:after="50" w:afterAutospacing="0" w:line="560" w:lineRule="exact"/>
        <w:ind w:left="0" w:right="0" w:firstLine="0"/>
        <w:textAlignment w:val="auto"/>
        <w:rPr>
          <w:rFonts w:hint="eastAsia" w:ascii="黑体" w:hAnsi="黑体" w:eastAsia="黑体" w:cs="黑体"/>
          <w:i w:val="0"/>
          <w:caps w:val="0"/>
          <w:color w:val="000000"/>
          <w:spacing w:val="0"/>
          <w:sz w:val="28"/>
          <w:szCs w:val="28"/>
        </w:rPr>
      </w:pPr>
      <w:r>
        <w:rPr>
          <w:rFonts w:hint="eastAsia" w:ascii="黑体" w:hAnsi="黑体" w:eastAsia="黑体" w:cs="黑体"/>
          <w:i w:val="0"/>
          <w:caps w:val="0"/>
          <w:color w:val="000000"/>
          <w:spacing w:val="0"/>
          <w:sz w:val="28"/>
          <w:szCs w:val="28"/>
          <w:lang w:val="en-US" w:eastAsia="zh-CN"/>
        </w:rPr>
        <w:t>一、</w:t>
      </w:r>
      <w:r>
        <w:rPr>
          <w:rFonts w:hint="eastAsia" w:ascii="黑体" w:hAnsi="黑体" w:eastAsia="黑体" w:cs="黑体"/>
          <w:i w:val="0"/>
          <w:caps w:val="0"/>
          <w:color w:val="000000"/>
          <w:spacing w:val="0"/>
          <w:sz w:val="28"/>
          <w:szCs w:val="28"/>
        </w:rPr>
        <w:t>评标方法： 综合评分法。</w:t>
      </w:r>
    </w:p>
    <w:p w14:paraId="09B48156">
      <w:pPr>
        <w:pStyle w:val="2"/>
        <w:keepNext w:val="0"/>
        <w:keepLines w:val="0"/>
        <w:pageBreakBefore w:val="0"/>
        <w:widowControl/>
        <w:suppressLineNumbers w:val="0"/>
        <w:kinsoku/>
        <w:wordWrap/>
        <w:overflowPunct/>
        <w:topLinePunct w:val="0"/>
        <w:autoSpaceDE/>
        <w:autoSpaceDN/>
        <w:bidi w:val="0"/>
        <w:adjustRightInd/>
        <w:snapToGrid/>
        <w:spacing w:before="50" w:beforeAutospacing="0" w:after="50" w:afterAutospacing="0" w:line="560" w:lineRule="exact"/>
        <w:ind w:left="0" w:right="0" w:firstLine="0"/>
        <w:jc w:val="left"/>
        <w:textAlignment w:val="auto"/>
        <w:rPr>
          <w:rFonts w:hint="eastAsia" w:ascii="黑体" w:hAnsi="黑体" w:eastAsia="黑体" w:cs="黑体"/>
          <w:i w:val="0"/>
          <w:caps w:val="0"/>
          <w:color w:val="000000"/>
          <w:spacing w:val="0"/>
          <w:sz w:val="28"/>
          <w:szCs w:val="28"/>
        </w:rPr>
      </w:pPr>
      <w:r>
        <w:rPr>
          <w:rFonts w:hint="eastAsia" w:ascii="黑体" w:hAnsi="黑体" w:eastAsia="黑体" w:cs="黑体"/>
          <w:i w:val="0"/>
          <w:caps w:val="0"/>
          <w:color w:val="000000"/>
          <w:spacing w:val="0"/>
          <w:sz w:val="28"/>
          <w:szCs w:val="28"/>
          <w:lang w:val="en-US" w:eastAsia="zh-CN"/>
        </w:rPr>
        <w:t>二、</w:t>
      </w:r>
      <w:r>
        <w:rPr>
          <w:rFonts w:hint="eastAsia" w:ascii="黑体" w:hAnsi="黑体" w:eastAsia="黑体" w:cs="黑体"/>
          <w:i w:val="0"/>
          <w:caps w:val="0"/>
          <w:color w:val="000000"/>
          <w:spacing w:val="0"/>
          <w:sz w:val="28"/>
          <w:szCs w:val="28"/>
        </w:rPr>
        <w:t>评标标准</w:t>
      </w:r>
    </w:p>
    <w:p w14:paraId="473CDC3F">
      <w:pPr>
        <w:pStyle w:val="2"/>
        <w:keepNext w:val="0"/>
        <w:keepLines w:val="0"/>
        <w:pageBreakBefore w:val="0"/>
        <w:widowControl/>
        <w:suppressLineNumbers w:val="0"/>
        <w:kinsoku/>
        <w:wordWrap/>
        <w:overflowPunct/>
        <w:topLinePunct w:val="0"/>
        <w:autoSpaceDE/>
        <w:autoSpaceDN/>
        <w:bidi w:val="0"/>
        <w:adjustRightInd/>
        <w:snapToGrid/>
        <w:spacing w:before="50" w:beforeAutospacing="0" w:after="50" w:afterAutospacing="0" w:line="560" w:lineRule="exact"/>
        <w:ind w:left="0" w:right="0" w:firstLine="560" w:firstLineChars="200"/>
        <w:jc w:val="left"/>
        <w:textAlignment w:val="auto"/>
        <w:rPr>
          <w:rFonts w:hint="eastAsia" w:ascii="仿宋_GB2312" w:hAnsi="仿宋_GB2312" w:eastAsia="仿宋_GB2312" w:cs="仿宋_GB2312"/>
          <w:i w:val="0"/>
          <w:caps w:val="0"/>
          <w:color w:val="000000"/>
          <w:spacing w:val="0"/>
          <w:sz w:val="28"/>
          <w:szCs w:val="28"/>
        </w:rPr>
      </w:pPr>
      <w:r>
        <w:rPr>
          <w:rFonts w:hint="eastAsia" w:ascii="仿宋_GB2312" w:hAnsi="仿宋_GB2312" w:eastAsia="仿宋_GB2312" w:cs="仿宋_GB2312"/>
          <w:i w:val="0"/>
          <w:caps w:val="0"/>
          <w:color w:val="000000"/>
          <w:spacing w:val="0"/>
          <w:sz w:val="28"/>
          <w:szCs w:val="28"/>
        </w:rPr>
        <w:t>各项评审因素的设置如下：</w:t>
      </w:r>
    </w:p>
    <w:p w14:paraId="1CB5FCDC">
      <w:pPr>
        <w:pStyle w:val="2"/>
        <w:keepNext w:val="0"/>
        <w:keepLines w:val="0"/>
        <w:pageBreakBefore w:val="0"/>
        <w:widowControl/>
        <w:suppressLineNumbers w:val="0"/>
        <w:kinsoku/>
        <w:wordWrap/>
        <w:overflowPunct/>
        <w:topLinePunct w:val="0"/>
        <w:autoSpaceDE/>
        <w:autoSpaceDN/>
        <w:bidi w:val="0"/>
        <w:adjustRightInd/>
        <w:snapToGrid/>
        <w:spacing w:before="50" w:beforeAutospacing="0" w:after="50" w:afterAutospacing="0" w:line="560" w:lineRule="exact"/>
        <w:ind w:left="0" w:right="0" w:firstLine="560" w:firstLineChars="200"/>
        <w:jc w:val="left"/>
        <w:textAlignment w:val="auto"/>
        <w:rPr>
          <w:rFonts w:hint="eastAsia" w:ascii="仿宋_GB2312" w:hAnsi="仿宋_GB2312" w:eastAsia="仿宋_GB2312" w:cs="仿宋_GB2312"/>
          <w:i w:val="0"/>
          <w:caps w:val="0"/>
          <w:color w:val="000000"/>
          <w:spacing w:val="0"/>
          <w:sz w:val="28"/>
          <w:szCs w:val="28"/>
        </w:rPr>
      </w:pPr>
      <w:r>
        <w:rPr>
          <w:rFonts w:hint="eastAsia" w:ascii="仿宋_GB2312" w:hAnsi="仿宋_GB2312" w:eastAsia="仿宋_GB2312" w:cs="仿宋_GB2312"/>
          <w:i w:val="0"/>
          <w:caps w:val="0"/>
          <w:color w:val="000000"/>
          <w:spacing w:val="0"/>
          <w:sz w:val="28"/>
          <w:szCs w:val="28"/>
          <w:lang w:val="en-US" w:eastAsia="zh-CN"/>
        </w:rPr>
        <w:t>1.</w:t>
      </w:r>
      <w:r>
        <w:rPr>
          <w:rFonts w:hint="eastAsia" w:ascii="仿宋_GB2312" w:hAnsi="仿宋_GB2312" w:eastAsia="仿宋_GB2312" w:cs="仿宋_GB2312"/>
          <w:i w:val="0"/>
          <w:caps w:val="0"/>
          <w:color w:val="000000"/>
          <w:spacing w:val="0"/>
          <w:sz w:val="28"/>
          <w:szCs w:val="28"/>
        </w:rPr>
        <w:t>价格项满分为</w:t>
      </w:r>
      <w:r>
        <w:rPr>
          <w:rFonts w:hint="eastAsia" w:ascii="仿宋_GB2312" w:hAnsi="仿宋_GB2312" w:eastAsia="仿宋_GB2312" w:cs="仿宋_GB2312"/>
          <w:i w:val="0"/>
          <w:caps w:val="0"/>
          <w:color w:val="000000"/>
          <w:spacing w:val="0"/>
          <w:sz w:val="28"/>
          <w:szCs w:val="28"/>
          <w:u w:val="single"/>
          <w:lang w:val="en-US" w:eastAsia="zh-CN"/>
        </w:rPr>
        <w:t>35</w:t>
      </w:r>
      <w:r>
        <w:rPr>
          <w:rFonts w:hint="eastAsia" w:ascii="仿宋_GB2312" w:hAnsi="仿宋_GB2312" w:eastAsia="仿宋_GB2312" w:cs="仿宋_GB2312"/>
          <w:i w:val="0"/>
          <w:caps w:val="0"/>
          <w:color w:val="000000"/>
          <w:spacing w:val="0"/>
          <w:sz w:val="28"/>
          <w:szCs w:val="28"/>
        </w:rPr>
        <w:t>分。</w:t>
      </w:r>
    </w:p>
    <w:p w14:paraId="66DC83D2">
      <w:pPr>
        <w:pStyle w:val="2"/>
        <w:keepNext w:val="0"/>
        <w:keepLines w:val="0"/>
        <w:pageBreakBefore w:val="0"/>
        <w:widowControl/>
        <w:suppressLineNumbers w:val="0"/>
        <w:kinsoku/>
        <w:wordWrap/>
        <w:overflowPunct/>
        <w:topLinePunct w:val="0"/>
        <w:autoSpaceDE/>
        <w:autoSpaceDN/>
        <w:bidi w:val="0"/>
        <w:adjustRightInd/>
        <w:snapToGrid/>
        <w:spacing w:before="50" w:beforeAutospacing="0" w:after="50" w:afterAutospacing="0" w:line="560" w:lineRule="exact"/>
        <w:ind w:left="0" w:right="0" w:firstLine="560" w:firstLineChars="200"/>
        <w:jc w:val="left"/>
        <w:textAlignment w:val="auto"/>
        <w:rPr>
          <w:rFonts w:hint="eastAsia" w:ascii="仿宋_GB2312" w:hAnsi="仿宋_GB2312" w:eastAsia="仿宋_GB2312" w:cs="仿宋_GB2312"/>
          <w:i w:val="0"/>
          <w:caps w:val="0"/>
          <w:color w:val="000000"/>
          <w:spacing w:val="0"/>
          <w:sz w:val="28"/>
          <w:szCs w:val="28"/>
          <w:lang w:val="en-US" w:eastAsia="zh-CN"/>
        </w:rPr>
      </w:pPr>
      <w:r>
        <w:rPr>
          <w:rFonts w:hint="eastAsia" w:ascii="仿宋" w:hAnsi="仿宋" w:eastAsia="仿宋" w:cs="仿宋"/>
          <w:i w:val="0"/>
          <w:caps w:val="0"/>
          <w:color w:val="000000"/>
          <w:spacing w:val="0"/>
          <w:sz w:val="28"/>
          <w:szCs w:val="28"/>
          <w:lang w:val="en-US" w:eastAsia="zh-CN"/>
        </w:rPr>
        <w:t>①</w:t>
      </w:r>
      <w:r>
        <w:rPr>
          <w:rFonts w:hint="eastAsia" w:ascii="仿宋_GB2312" w:hAnsi="仿宋_GB2312" w:eastAsia="仿宋_GB2312" w:cs="仿宋_GB2312"/>
          <w:i w:val="0"/>
          <w:caps w:val="0"/>
          <w:color w:val="000000"/>
          <w:spacing w:val="0"/>
          <w:sz w:val="28"/>
          <w:szCs w:val="28"/>
          <w:lang w:val="en-US" w:eastAsia="zh-CN"/>
        </w:rPr>
        <w:t>设备设施承租经费：以1万元/年为基数测算，每增减1000元/年相应增减1分，本项目最高得分20分，最低为0分。</w:t>
      </w:r>
    </w:p>
    <w:p w14:paraId="7DDCB83F">
      <w:pPr>
        <w:pStyle w:val="2"/>
        <w:keepNext w:val="0"/>
        <w:keepLines w:val="0"/>
        <w:pageBreakBefore w:val="0"/>
        <w:widowControl/>
        <w:suppressLineNumbers w:val="0"/>
        <w:kinsoku/>
        <w:wordWrap/>
        <w:overflowPunct/>
        <w:topLinePunct w:val="0"/>
        <w:autoSpaceDE/>
        <w:autoSpaceDN/>
        <w:bidi w:val="0"/>
        <w:adjustRightInd/>
        <w:snapToGrid/>
        <w:spacing w:before="50" w:beforeAutospacing="0" w:after="50" w:afterAutospacing="0" w:line="560" w:lineRule="exact"/>
        <w:ind w:left="0" w:right="0" w:firstLine="560" w:firstLineChars="200"/>
        <w:jc w:val="left"/>
        <w:textAlignment w:val="auto"/>
        <w:rPr>
          <w:rFonts w:hint="default" w:ascii="仿宋_GB2312" w:hAnsi="仿宋_GB2312" w:eastAsia="仿宋_GB2312" w:cs="仿宋_GB2312"/>
          <w:i w:val="0"/>
          <w:caps w:val="0"/>
          <w:color w:val="000000"/>
          <w:spacing w:val="0"/>
          <w:sz w:val="28"/>
          <w:szCs w:val="28"/>
          <w:lang w:val="en-US" w:eastAsia="zh-CN"/>
        </w:rPr>
      </w:pPr>
      <w:r>
        <w:rPr>
          <w:rFonts w:hint="eastAsia" w:ascii="仿宋" w:hAnsi="仿宋" w:eastAsia="仿宋" w:cs="仿宋"/>
          <w:i w:val="0"/>
          <w:caps w:val="0"/>
          <w:color w:val="000000"/>
          <w:spacing w:val="0"/>
          <w:sz w:val="28"/>
          <w:szCs w:val="28"/>
          <w:lang w:val="en-US" w:eastAsia="zh-CN"/>
        </w:rPr>
        <w:t>②</w:t>
      </w:r>
      <w:r>
        <w:rPr>
          <w:rFonts w:hint="eastAsia" w:cs="仿宋"/>
          <w:i w:val="0"/>
          <w:caps w:val="0"/>
          <w:color w:val="000000"/>
          <w:spacing w:val="0"/>
          <w:sz w:val="28"/>
          <w:szCs w:val="28"/>
          <w:lang w:val="en-US" w:eastAsia="zh-CN"/>
        </w:rPr>
        <w:t>员工优惠：承诺给予本院员工充值优惠达20%及以上得15分；10%-20%（不含）得10分；10%以内不得分。</w:t>
      </w:r>
    </w:p>
    <w:p w14:paraId="55735342">
      <w:pPr>
        <w:pStyle w:val="2"/>
        <w:keepNext w:val="0"/>
        <w:keepLines w:val="0"/>
        <w:pageBreakBefore w:val="0"/>
        <w:widowControl/>
        <w:suppressLineNumbers w:val="0"/>
        <w:kinsoku/>
        <w:wordWrap/>
        <w:overflowPunct/>
        <w:topLinePunct w:val="0"/>
        <w:autoSpaceDE/>
        <w:autoSpaceDN/>
        <w:bidi w:val="0"/>
        <w:adjustRightInd/>
        <w:snapToGrid/>
        <w:spacing w:before="50" w:beforeAutospacing="0" w:after="50" w:afterAutospacing="0" w:line="560" w:lineRule="exact"/>
        <w:ind w:left="0" w:right="0" w:firstLine="560" w:firstLineChars="200"/>
        <w:jc w:val="left"/>
        <w:textAlignment w:val="auto"/>
        <w:rPr>
          <w:rFonts w:hint="eastAsia" w:ascii="仿宋_GB2312" w:hAnsi="仿宋_GB2312" w:eastAsia="仿宋_GB2312" w:cs="仿宋_GB2312"/>
          <w:i w:val="0"/>
          <w:caps w:val="0"/>
          <w:color w:val="000000"/>
          <w:spacing w:val="0"/>
          <w:sz w:val="28"/>
          <w:szCs w:val="28"/>
        </w:rPr>
      </w:pPr>
      <w:r>
        <w:rPr>
          <w:rFonts w:hint="eastAsia" w:ascii="仿宋_GB2312" w:hAnsi="仿宋_GB2312" w:eastAsia="仿宋_GB2312" w:cs="仿宋_GB2312"/>
          <w:i w:val="0"/>
          <w:caps w:val="0"/>
          <w:color w:val="000000"/>
          <w:spacing w:val="0"/>
          <w:sz w:val="28"/>
          <w:szCs w:val="28"/>
          <w:lang w:val="en-US" w:eastAsia="zh-CN"/>
        </w:rPr>
        <w:t>2.</w:t>
      </w:r>
      <w:r>
        <w:rPr>
          <w:rFonts w:hint="eastAsia" w:ascii="仿宋_GB2312" w:hAnsi="仿宋_GB2312" w:eastAsia="仿宋_GB2312" w:cs="仿宋_GB2312"/>
          <w:i w:val="0"/>
          <w:caps w:val="0"/>
          <w:color w:val="000000"/>
          <w:spacing w:val="0"/>
          <w:sz w:val="28"/>
          <w:szCs w:val="28"/>
        </w:rPr>
        <w:t>技术项满分为</w:t>
      </w:r>
      <w:r>
        <w:rPr>
          <w:rFonts w:hint="eastAsia" w:ascii="仿宋_GB2312" w:hAnsi="仿宋_GB2312" w:eastAsia="仿宋_GB2312" w:cs="仿宋_GB2312"/>
          <w:i w:val="0"/>
          <w:caps w:val="0"/>
          <w:color w:val="000000"/>
          <w:spacing w:val="0"/>
          <w:sz w:val="28"/>
          <w:szCs w:val="28"/>
          <w:u w:val="single"/>
          <w:lang w:val="en-US" w:eastAsia="zh-CN"/>
        </w:rPr>
        <w:t>55</w:t>
      </w:r>
      <w:r>
        <w:rPr>
          <w:rFonts w:hint="eastAsia" w:ascii="仿宋_GB2312" w:hAnsi="仿宋_GB2312" w:eastAsia="仿宋_GB2312" w:cs="仿宋_GB2312"/>
          <w:i w:val="0"/>
          <w:caps w:val="0"/>
          <w:color w:val="000000"/>
          <w:spacing w:val="0"/>
          <w:sz w:val="28"/>
          <w:szCs w:val="28"/>
        </w:rPr>
        <w:t>分。</w:t>
      </w:r>
    </w:p>
    <w:tbl>
      <w:tblPr>
        <w:tblStyle w:val="3"/>
        <w:tblW w:w="0" w:type="auto"/>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186"/>
        <w:gridCol w:w="732"/>
        <w:gridCol w:w="6942"/>
      </w:tblGrid>
      <w:tr w14:paraId="54EFC76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Header/>
          <w:tblCellSpacing w:w="0" w:type="dxa"/>
        </w:trPr>
        <w:tc>
          <w:tcPr>
            <w:tcW w:w="0" w:type="auto"/>
            <w:tcBorders>
              <w:tl2br w:val="nil"/>
              <w:tr2bl w:val="nil"/>
            </w:tcBorders>
            <w:shd w:val="clear" w:color="auto" w:fill="auto"/>
            <w:vAlign w:val="center"/>
          </w:tcPr>
          <w:p w14:paraId="6BE8C9F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评标项目</w:t>
            </w:r>
          </w:p>
        </w:tc>
        <w:tc>
          <w:tcPr>
            <w:tcW w:w="732" w:type="dxa"/>
            <w:tcBorders>
              <w:tl2br w:val="nil"/>
              <w:tr2bl w:val="nil"/>
            </w:tcBorders>
            <w:shd w:val="clear" w:color="auto" w:fill="auto"/>
            <w:vAlign w:val="center"/>
          </w:tcPr>
          <w:p w14:paraId="6B1BE292">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评标分值</w:t>
            </w:r>
          </w:p>
        </w:tc>
        <w:tc>
          <w:tcPr>
            <w:tcW w:w="6942" w:type="dxa"/>
            <w:tcBorders>
              <w:tl2br w:val="nil"/>
              <w:tr2bl w:val="nil"/>
            </w:tcBorders>
            <w:shd w:val="clear" w:color="auto" w:fill="auto"/>
            <w:vAlign w:val="center"/>
          </w:tcPr>
          <w:p w14:paraId="41B504B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评标方法描述</w:t>
            </w:r>
          </w:p>
        </w:tc>
      </w:tr>
      <w:tr w14:paraId="1174BB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848" w:hRule="atLeast"/>
          <w:tblCellSpacing w:w="0" w:type="dxa"/>
        </w:trPr>
        <w:tc>
          <w:tcPr>
            <w:tcW w:w="0" w:type="auto"/>
            <w:tcBorders>
              <w:tl2br w:val="nil"/>
              <w:tr2bl w:val="nil"/>
            </w:tcBorders>
            <w:shd w:val="clear" w:color="auto" w:fill="auto"/>
            <w:vAlign w:val="center"/>
          </w:tcPr>
          <w:p w14:paraId="24D15E1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总体服务方案</w:t>
            </w:r>
          </w:p>
        </w:tc>
        <w:tc>
          <w:tcPr>
            <w:tcW w:w="732" w:type="dxa"/>
            <w:tcBorders>
              <w:tl2br w:val="nil"/>
              <w:tr2bl w:val="nil"/>
            </w:tcBorders>
            <w:shd w:val="clear" w:color="auto" w:fill="auto"/>
            <w:vAlign w:val="center"/>
          </w:tcPr>
          <w:p w14:paraId="72F998E2">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default" w:ascii="仿宋_GB2312" w:hAnsi="仿宋_GB2312" w:eastAsia="仿宋_GB2312" w:cs="仿宋_GB2312"/>
                <w:caps w:val="0"/>
                <w:spacing w:val="0"/>
                <w:sz w:val="28"/>
                <w:szCs w:val="28"/>
                <w:lang w:val="en-US"/>
              </w:rPr>
            </w:pPr>
            <w:r>
              <w:rPr>
                <w:rFonts w:hint="eastAsia" w:ascii="仿宋_GB2312" w:hAnsi="仿宋_GB2312" w:eastAsia="仿宋_GB2312" w:cs="仿宋_GB2312"/>
                <w:caps w:val="0"/>
                <w:spacing w:val="0"/>
                <w:kern w:val="0"/>
                <w:sz w:val="28"/>
                <w:szCs w:val="28"/>
                <w:lang w:val="en-US" w:eastAsia="zh-CN" w:bidi="ar"/>
              </w:rPr>
              <w:t>10</w:t>
            </w:r>
          </w:p>
        </w:tc>
        <w:tc>
          <w:tcPr>
            <w:tcW w:w="6942" w:type="dxa"/>
            <w:tcBorders>
              <w:tl2br w:val="nil"/>
              <w:tr2bl w:val="nil"/>
            </w:tcBorders>
            <w:shd w:val="clear" w:color="auto" w:fill="auto"/>
            <w:vAlign w:val="center"/>
          </w:tcPr>
          <w:p w14:paraId="76F82D3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根据投标人提供的总体服务方案进行评价：①有根据项目服务内容及要求提供总体服务方案，且符合项目要求的得5分；②在满足①的基础上，有对本项目食堂实际情况进行分析，充分考虑并完善各方面服务内容，能提供服务质量承诺的得10分；③未提供或不满足上述要求的不得分。</w:t>
            </w:r>
          </w:p>
        </w:tc>
      </w:tr>
      <w:tr w14:paraId="5062E5E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82" w:hRule="atLeast"/>
          <w:tblCellSpacing w:w="0" w:type="dxa"/>
        </w:trPr>
        <w:tc>
          <w:tcPr>
            <w:tcW w:w="0" w:type="auto"/>
            <w:tcBorders>
              <w:tl2br w:val="nil"/>
              <w:tr2bl w:val="nil"/>
            </w:tcBorders>
            <w:shd w:val="clear" w:color="auto" w:fill="auto"/>
            <w:vAlign w:val="center"/>
          </w:tcPr>
          <w:p w14:paraId="5170CC7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日常管理制度</w:t>
            </w:r>
          </w:p>
        </w:tc>
        <w:tc>
          <w:tcPr>
            <w:tcW w:w="732" w:type="dxa"/>
            <w:tcBorders>
              <w:tl2br w:val="nil"/>
              <w:tr2bl w:val="nil"/>
            </w:tcBorders>
            <w:shd w:val="clear" w:color="auto" w:fill="auto"/>
            <w:vAlign w:val="center"/>
          </w:tcPr>
          <w:p w14:paraId="4BD3F1F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5</w:t>
            </w:r>
          </w:p>
        </w:tc>
        <w:tc>
          <w:tcPr>
            <w:tcW w:w="6942" w:type="dxa"/>
            <w:tcBorders>
              <w:tl2br w:val="nil"/>
              <w:tr2bl w:val="nil"/>
            </w:tcBorders>
            <w:shd w:val="clear" w:color="auto" w:fill="auto"/>
            <w:vAlign w:val="center"/>
          </w:tcPr>
          <w:p w14:paraId="4F20D23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根据投标人针对本项目制定的日常管理制度进行评价：①有针对本项目制定日常管理制度，且满足项目管理要求得3分；②在满足①的基础上，对现场管理、人员管理、索票索证、台账登记、成本核算、后厨管理等工作均有详细规定，能够确保食堂运行有序的得5分；③未提供或不满足上述要求的不得分。</w:t>
            </w:r>
          </w:p>
        </w:tc>
      </w:tr>
      <w:tr w14:paraId="2D38C47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l2br w:val="nil"/>
              <w:tr2bl w:val="nil"/>
            </w:tcBorders>
            <w:shd w:val="clear" w:color="auto" w:fill="auto"/>
            <w:vAlign w:val="center"/>
          </w:tcPr>
          <w:p w14:paraId="28807D1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保证饭菜新鲜的保障措施</w:t>
            </w:r>
          </w:p>
        </w:tc>
        <w:tc>
          <w:tcPr>
            <w:tcW w:w="732" w:type="dxa"/>
            <w:tcBorders>
              <w:tl2br w:val="nil"/>
              <w:tr2bl w:val="nil"/>
            </w:tcBorders>
            <w:shd w:val="clear" w:color="auto" w:fill="auto"/>
            <w:vAlign w:val="center"/>
          </w:tcPr>
          <w:p w14:paraId="68ABA0B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5</w:t>
            </w:r>
          </w:p>
        </w:tc>
        <w:tc>
          <w:tcPr>
            <w:tcW w:w="6942" w:type="dxa"/>
            <w:tcBorders>
              <w:tl2br w:val="nil"/>
              <w:tr2bl w:val="nil"/>
            </w:tcBorders>
            <w:shd w:val="clear" w:color="auto" w:fill="auto"/>
            <w:vAlign w:val="center"/>
          </w:tcPr>
          <w:p w14:paraId="12D316C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根据投标人提供的保证饭菜新鲜的保障措施进行评价：①有提供保证饭菜新鲜的保障措施的得3分；②在满足①的基础上，有从食材原材料至熟食各个环节进行保障，且措施完善可行，有利于保证饭菜新鲜的得5分；③未提供或不满足上述要求的不得分。</w:t>
            </w:r>
          </w:p>
        </w:tc>
      </w:tr>
      <w:tr w14:paraId="66C92B0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l2br w:val="nil"/>
              <w:tr2bl w:val="nil"/>
            </w:tcBorders>
            <w:shd w:val="clear" w:color="auto" w:fill="auto"/>
            <w:vAlign w:val="center"/>
          </w:tcPr>
          <w:p w14:paraId="0346E1D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食品安全保障措施及详细方案</w:t>
            </w:r>
          </w:p>
        </w:tc>
        <w:tc>
          <w:tcPr>
            <w:tcW w:w="732" w:type="dxa"/>
            <w:tcBorders>
              <w:tl2br w:val="nil"/>
              <w:tr2bl w:val="nil"/>
            </w:tcBorders>
            <w:shd w:val="clear" w:color="auto" w:fill="auto"/>
            <w:vAlign w:val="center"/>
          </w:tcPr>
          <w:p w14:paraId="1C85912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default" w:ascii="仿宋_GB2312" w:hAnsi="仿宋_GB2312" w:eastAsia="仿宋_GB2312" w:cs="仿宋_GB2312"/>
                <w:caps w:val="0"/>
                <w:spacing w:val="0"/>
                <w:sz w:val="28"/>
                <w:szCs w:val="28"/>
                <w:lang w:val="en-US"/>
              </w:rPr>
            </w:pPr>
            <w:r>
              <w:rPr>
                <w:rFonts w:hint="eastAsia" w:ascii="仿宋_GB2312" w:hAnsi="仿宋_GB2312" w:eastAsia="仿宋_GB2312" w:cs="仿宋_GB2312"/>
                <w:caps w:val="0"/>
                <w:spacing w:val="0"/>
                <w:kern w:val="0"/>
                <w:sz w:val="28"/>
                <w:szCs w:val="28"/>
                <w:lang w:val="en-US" w:eastAsia="zh-CN" w:bidi="ar"/>
              </w:rPr>
              <w:t>10</w:t>
            </w:r>
          </w:p>
        </w:tc>
        <w:tc>
          <w:tcPr>
            <w:tcW w:w="6942" w:type="dxa"/>
            <w:tcBorders>
              <w:tl2br w:val="nil"/>
              <w:tr2bl w:val="nil"/>
            </w:tcBorders>
            <w:shd w:val="clear" w:color="auto" w:fill="auto"/>
            <w:vAlign w:val="center"/>
          </w:tcPr>
          <w:p w14:paraId="1999CE7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根据投标人提供的食品安全保障措施进行评价：①有提供食品安全保障措施的得5分；②在满足①的基础上，措施完善可行，满足食品安全相关法律法规、标准规范要求，并承诺中标后严格按制度要求依法执行的得10分；③未提供或不满足上述要求的不得分。</w:t>
            </w:r>
          </w:p>
        </w:tc>
      </w:tr>
      <w:tr w14:paraId="08E21F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l2br w:val="nil"/>
              <w:tr2bl w:val="nil"/>
            </w:tcBorders>
            <w:shd w:val="clear" w:color="auto" w:fill="auto"/>
            <w:vAlign w:val="center"/>
          </w:tcPr>
          <w:p w14:paraId="7B72899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应急工作用餐的保障措施及详细方案</w:t>
            </w:r>
          </w:p>
        </w:tc>
        <w:tc>
          <w:tcPr>
            <w:tcW w:w="732" w:type="dxa"/>
            <w:tcBorders>
              <w:tl2br w:val="nil"/>
              <w:tr2bl w:val="nil"/>
            </w:tcBorders>
            <w:shd w:val="clear" w:color="auto" w:fill="auto"/>
            <w:vAlign w:val="center"/>
          </w:tcPr>
          <w:p w14:paraId="7D02F7E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default" w:ascii="仿宋_GB2312" w:hAnsi="仿宋_GB2312" w:eastAsia="仿宋_GB2312" w:cs="仿宋_GB2312"/>
                <w:caps w:val="0"/>
                <w:spacing w:val="0"/>
                <w:sz w:val="28"/>
                <w:szCs w:val="28"/>
                <w:lang w:val="en-US"/>
              </w:rPr>
            </w:pPr>
            <w:r>
              <w:rPr>
                <w:rFonts w:hint="eastAsia" w:ascii="仿宋_GB2312" w:hAnsi="仿宋_GB2312" w:eastAsia="仿宋_GB2312" w:cs="仿宋_GB2312"/>
                <w:caps w:val="0"/>
                <w:spacing w:val="0"/>
                <w:kern w:val="0"/>
                <w:sz w:val="28"/>
                <w:szCs w:val="28"/>
                <w:lang w:val="en-US" w:eastAsia="zh-CN" w:bidi="ar"/>
              </w:rPr>
              <w:t>10</w:t>
            </w:r>
          </w:p>
        </w:tc>
        <w:tc>
          <w:tcPr>
            <w:tcW w:w="6942" w:type="dxa"/>
            <w:tcBorders>
              <w:tl2br w:val="nil"/>
              <w:tr2bl w:val="nil"/>
            </w:tcBorders>
            <w:shd w:val="clear" w:color="auto" w:fill="auto"/>
            <w:vAlign w:val="center"/>
          </w:tcPr>
          <w:p w14:paraId="230AC272">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根据投标人提供的停电、停水、防台、防汛、防火、重要或大型活动、会议等应急工作用餐（包括配送方案）的保障方案进行评价：①有对以上内容做出紧急预案，且方案基本符合实际要求的得5分；②在满足①的基础上，针对各类事件等考虑全面，重点突出且应对处理方案合理可行，人员调配合理，能够确保正常用餐的得10分；③未提供或不满足上述要求的不得分。</w:t>
            </w:r>
          </w:p>
        </w:tc>
      </w:tr>
      <w:tr w14:paraId="66776C7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l2br w:val="nil"/>
              <w:tr2bl w:val="nil"/>
            </w:tcBorders>
            <w:shd w:val="clear" w:color="auto" w:fill="auto"/>
            <w:vAlign w:val="center"/>
          </w:tcPr>
          <w:p w14:paraId="350FC69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食品中毒处理预案及详细方案</w:t>
            </w:r>
          </w:p>
        </w:tc>
        <w:tc>
          <w:tcPr>
            <w:tcW w:w="732" w:type="dxa"/>
            <w:tcBorders>
              <w:tl2br w:val="nil"/>
              <w:tr2bl w:val="nil"/>
            </w:tcBorders>
            <w:shd w:val="clear" w:color="auto" w:fill="auto"/>
            <w:vAlign w:val="center"/>
          </w:tcPr>
          <w:p w14:paraId="21ABBA6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5</w:t>
            </w:r>
          </w:p>
        </w:tc>
        <w:tc>
          <w:tcPr>
            <w:tcW w:w="6942" w:type="dxa"/>
            <w:tcBorders>
              <w:tl2br w:val="nil"/>
              <w:tr2bl w:val="nil"/>
            </w:tcBorders>
            <w:shd w:val="clear" w:color="auto" w:fill="auto"/>
            <w:vAlign w:val="center"/>
          </w:tcPr>
          <w:p w14:paraId="0CC4078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根据投标人提供的食品中毒处理预案进行评价：①有制定食物中毒应急预案，成立专门处置小组，明确发生食物中毒后的处理流程、处理方式等的得3分；②在满足①的基础上，有明确事故倒查追责方案、整改完善措施、承担相应责任的承诺得5分；③未提供或不满足上述要求的不得分。</w:t>
            </w:r>
          </w:p>
        </w:tc>
      </w:tr>
      <w:tr w14:paraId="49ADBCF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l2br w:val="nil"/>
              <w:tr2bl w:val="nil"/>
            </w:tcBorders>
            <w:shd w:val="clear" w:color="auto" w:fill="auto"/>
            <w:vAlign w:val="center"/>
          </w:tcPr>
          <w:p w14:paraId="08CD459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垃圾分类管理方案</w:t>
            </w:r>
          </w:p>
        </w:tc>
        <w:tc>
          <w:tcPr>
            <w:tcW w:w="732" w:type="dxa"/>
            <w:tcBorders>
              <w:tl2br w:val="nil"/>
              <w:tr2bl w:val="nil"/>
            </w:tcBorders>
            <w:shd w:val="clear" w:color="auto" w:fill="auto"/>
            <w:vAlign w:val="center"/>
          </w:tcPr>
          <w:p w14:paraId="233C836C">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5</w:t>
            </w:r>
          </w:p>
        </w:tc>
        <w:tc>
          <w:tcPr>
            <w:tcW w:w="6942" w:type="dxa"/>
            <w:tcBorders>
              <w:tl2br w:val="nil"/>
              <w:tr2bl w:val="nil"/>
            </w:tcBorders>
            <w:shd w:val="clear" w:color="auto" w:fill="auto"/>
            <w:vAlign w:val="center"/>
          </w:tcPr>
          <w:p w14:paraId="3FBD381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根据投标人提供的垃圾分类及清理管理方案进行评价：①有提供垃圾分类及清理管理方案，能保证食堂环境安全卫生的得3分；②在满足①的基础上，有制定垃圾分类奖惩考核措施，并承诺按泉州市垃圾分类规定严格执行的得5分；③未提供或不满足上述要求的不得分。</w:t>
            </w:r>
          </w:p>
        </w:tc>
      </w:tr>
      <w:tr w14:paraId="5888536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l2br w:val="nil"/>
              <w:tr2bl w:val="nil"/>
            </w:tcBorders>
            <w:shd w:val="clear" w:color="auto" w:fill="auto"/>
            <w:vAlign w:val="center"/>
          </w:tcPr>
          <w:p w14:paraId="1FDC8F1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人员配置情况</w:t>
            </w:r>
          </w:p>
        </w:tc>
        <w:tc>
          <w:tcPr>
            <w:tcW w:w="732" w:type="dxa"/>
            <w:tcBorders>
              <w:tl2br w:val="nil"/>
              <w:tr2bl w:val="nil"/>
            </w:tcBorders>
            <w:shd w:val="clear" w:color="auto" w:fill="auto"/>
            <w:vAlign w:val="center"/>
          </w:tcPr>
          <w:p w14:paraId="37F4FB5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5</w:t>
            </w:r>
          </w:p>
        </w:tc>
        <w:tc>
          <w:tcPr>
            <w:tcW w:w="6942" w:type="dxa"/>
            <w:tcBorders>
              <w:tl2br w:val="nil"/>
              <w:tr2bl w:val="nil"/>
            </w:tcBorders>
            <w:shd w:val="clear" w:color="auto" w:fill="auto"/>
            <w:vAlign w:val="center"/>
          </w:tcPr>
          <w:p w14:paraId="380D735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投标人提供的人员岗位设置及配备人员数量合理且满足招标文件要求，且配备人员均应为投标人本单位员工，得5分。未满足上述条件的不得分。</w:t>
            </w:r>
          </w:p>
        </w:tc>
      </w:tr>
    </w:tbl>
    <w:p w14:paraId="26B90533">
      <w:pPr>
        <w:pStyle w:val="2"/>
        <w:keepNext w:val="0"/>
        <w:keepLines w:val="0"/>
        <w:widowControl/>
        <w:suppressLineNumbers w:val="0"/>
        <w:ind w:left="0" w:firstLine="320"/>
        <w:rPr>
          <w:rFonts w:hint="eastAsia" w:ascii="仿宋_GB2312" w:hAnsi="仿宋_GB2312" w:eastAsia="仿宋_GB2312" w:cs="仿宋_GB2312"/>
          <w:i w:val="0"/>
          <w:caps w:val="0"/>
          <w:color w:val="000000"/>
          <w:spacing w:val="0"/>
          <w:sz w:val="28"/>
          <w:szCs w:val="28"/>
        </w:rPr>
      </w:pPr>
      <w:r>
        <w:rPr>
          <w:rFonts w:hint="eastAsia" w:ascii="仿宋_GB2312" w:hAnsi="仿宋_GB2312" w:eastAsia="仿宋_GB2312" w:cs="仿宋_GB2312"/>
          <w:i w:val="0"/>
          <w:caps w:val="0"/>
          <w:color w:val="000000"/>
          <w:spacing w:val="0"/>
          <w:sz w:val="28"/>
          <w:szCs w:val="28"/>
          <w:lang w:val="en-US" w:eastAsia="zh-CN"/>
        </w:rPr>
        <w:t>3.</w:t>
      </w:r>
      <w:r>
        <w:rPr>
          <w:rFonts w:hint="eastAsia" w:ascii="仿宋_GB2312" w:hAnsi="仿宋_GB2312" w:eastAsia="仿宋_GB2312" w:cs="仿宋_GB2312"/>
          <w:i w:val="0"/>
          <w:caps w:val="0"/>
          <w:color w:val="000000"/>
          <w:spacing w:val="0"/>
          <w:sz w:val="28"/>
          <w:szCs w:val="28"/>
        </w:rPr>
        <w:t>商务项满分为</w:t>
      </w:r>
      <w:r>
        <w:rPr>
          <w:rFonts w:hint="eastAsia" w:ascii="仿宋_GB2312" w:hAnsi="仿宋_GB2312" w:eastAsia="仿宋_GB2312" w:cs="仿宋_GB2312"/>
          <w:i w:val="0"/>
          <w:caps w:val="0"/>
          <w:color w:val="000000"/>
          <w:spacing w:val="0"/>
          <w:sz w:val="28"/>
          <w:szCs w:val="28"/>
          <w:u w:val="single"/>
          <w:lang w:val="en-US" w:eastAsia="zh-CN"/>
        </w:rPr>
        <w:t>10</w:t>
      </w:r>
      <w:r>
        <w:rPr>
          <w:rFonts w:hint="eastAsia" w:ascii="仿宋_GB2312" w:hAnsi="仿宋_GB2312" w:eastAsia="仿宋_GB2312" w:cs="仿宋_GB2312"/>
          <w:i w:val="0"/>
          <w:caps w:val="0"/>
          <w:color w:val="000000"/>
          <w:spacing w:val="0"/>
          <w:sz w:val="28"/>
          <w:szCs w:val="28"/>
        </w:rPr>
        <w:t>分。</w:t>
      </w:r>
    </w:p>
    <w:tbl>
      <w:tblPr>
        <w:tblStyle w:val="3"/>
        <w:tblW w:w="0" w:type="auto"/>
        <w:tblCellSpacing w:w="0"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Layout w:type="autofit"/>
        <w:tblCellMar>
          <w:top w:w="0" w:type="dxa"/>
          <w:left w:w="0" w:type="dxa"/>
          <w:bottom w:w="0" w:type="dxa"/>
          <w:right w:w="0" w:type="dxa"/>
        </w:tblCellMar>
      </w:tblPr>
      <w:tblGrid>
        <w:gridCol w:w="1189"/>
        <w:gridCol w:w="744"/>
        <w:gridCol w:w="6912"/>
      </w:tblGrid>
      <w:tr w14:paraId="7A1AEB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0" w:type="dxa"/>
            <w:bottom w:w="0" w:type="dxa"/>
            <w:right w:w="0" w:type="dxa"/>
          </w:tblCellMar>
        </w:tblPrEx>
        <w:trPr>
          <w:tblHeader/>
          <w:tblCellSpacing w:w="0" w:type="dxa"/>
        </w:trPr>
        <w:tc>
          <w:tcPr>
            <w:tcW w:w="1189" w:type="dxa"/>
            <w:tcBorders>
              <w:tl2br w:val="nil"/>
              <w:tr2bl w:val="nil"/>
            </w:tcBorders>
            <w:shd w:val="clear" w:color="auto" w:fill="auto"/>
            <w:vAlign w:val="center"/>
          </w:tcPr>
          <w:p w14:paraId="27E55F8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评标项目</w:t>
            </w:r>
          </w:p>
        </w:tc>
        <w:tc>
          <w:tcPr>
            <w:tcW w:w="744" w:type="dxa"/>
            <w:tcBorders>
              <w:tl2br w:val="nil"/>
              <w:tr2bl w:val="nil"/>
            </w:tcBorders>
            <w:shd w:val="clear" w:color="auto" w:fill="auto"/>
            <w:vAlign w:val="center"/>
          </w:tcPr>
          <w:p w14:paraId="223EA38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评标分值</w:t>
            </w:r>
          </w:p>
        </w:tc>
        <w:tc>
          <w:tcPr>
            <w:tcW w:w="6912" w:type="dxa"/>
            <w:tcBorders>
              <w:tl2br w:val="nil"/>
              <w:tr2bl w:val="nil"/>
            </w:tcBorders>
            <w:shd w:val="clear" w:color="auto" w:fill="auto"/>
            <w:vAlign w:val="center"/>
          </w:tcPr>
          <w:p w14:paraId="3305DAA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评标方法描述</w:t>
            </w:r>
          </w:p>
        </w:tc>
      </w:tr>
      <w:tr w14:paraId="3D14E0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blCellSpacing w:w="0" w:type="dxa"/>
        </w:trPr>
        <w:tc>
          <w:tcPr>
            <w:tcW w:w="1189" w:type="dxa"/>
            <w:tcBorders>
              <w:tl2br w:val="nil"/>
              <w:tr2bl w:val="nil"/>
            </w:tcBorders>
            <w:shd w:val="clear" w:color="auto" w:fill="auto"/>
            <w:vAlign w:val="center"/>
          </w:tcPr>
          <w:p w14:paraId="771CC8C5">
            <w:pPr>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医院的食堂劳务外包项目的业绩</w:t>
            </w:r>
          </w:p>
        </w:tc>
        <w:tc>
          <w:tcPr>
            <w:tcW w:w="744" w:type="dxa"/>
            <w:tcBorders>
              <w:tl2br w:val="nil"/>
              <w:tr2bl w:val="nil"/>
            </w:tcBorders>
            <w:shd w:val="clear" w:color="auto" w:fill="auto"/>
            <w:vAlign w:val="center"/>
          </w:tcPr>
          <w:p w14:paraId="3D839CD0">
            <w:pPr>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5</w:t>
            </w:r>
          </w:p>
        </w:tc>
        <w:tc>
          <w:tcPr>
            <w:tcW w:w="6912" w:type="dxa"/>
            <w:tcBorders>
              <w:tl2br w:val="nil"/>
              <w:tr2bl w:val="nil"/>
            </w:tcBorders>
            <w:shd w:val="clear" w:color="auto" w:fill="auto"/>
            <w:vAlign w:val="center"/>
          </w:tcPr>
          <w:p w14:paraId="534AA887">
            <w:pPr>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jc w:val="left"/>
              <w:textAlignment w:val="auto"/>
              <w:rPr>
                <w:rFonts w:hint="default" w:ascii="仿宋_GB2312" w:hAnsi="仿宋_GB2312" w:eastAsia="仿宋_GB2312" w:cs="仿宋_GB2312"/>
                <w:caps w:val="0"/>
                <w:spacing w:val="0"/>
                <w:sz w:val="28"/>
                <w:szCs w:val="28"/>
                <w:lang w:val="en-US"/>
              </w:rPr>
            </w:pPr>
            <w:r>
              <w:rPr>
                <w:rFonts w:hint="eastAsia" w:ascii="仿宋_GB2312" w:hAnsi="仿宋_GB2312" w:eastAsia="仿宋_GB2312" w:cs="仿宋_GB2312"/>
                <w:caps w:val="0"/>
                <w:spacing w:val="0"/>
                <w:kern w:val="0"/>
                <w:sz w:val="28"/>
                <w:szCs w:val="28"/>
                <w:lang w:val="en-US" w:eastAsia="zh-CN" w:bidi="ar"/>
              </w:rPr>
              <w:t>根据投标人2023年1月1日以来（以合同签订时间为准）具有的医院的食堂劳务外包项目的业绩进行评价。投标人在投标文件中提供该业绩项目的采购合同文本复印件，得5分。如未按以上要求提供该项业绩完整资料的，评标委员会对该项业绩将不予采信，视同未提供，得0分。</w:t>
            </w:r>
          </w:p>
        </w:tc>
      </w:tr>
      <w:tr w14:paraId="3A86E7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blCellSpacing w:w="0" w:type="dxa"/>
        </w:trPr>
        <w:tc>
          <w:tcPr>
            <w:tcW w:w="1189" w:type="dxa"/>
            <w:tcBorders>
              <w:tl2br w:val="nil"/>
              <w:tr2bl w:val="nil"/>
            </w:tcBorders>
            <w:shd w:val="clear" w:color="auto" w:fill="auto"/>
            <w:vAlign w:val="center"/>
          </w:tcPr>
          <w:p w14:paraId="3481007C">
            <w:pPr>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jc w:val="left"/>
              <w:textAlignment w:val="auto"/>
              <w:rPr>
                <w:rFonts w:hint="default" w:ascii="仿宋_GB2312" w:hAnsi="仿宋_GB2312" w:eastAsia="仿宋_GB2312" w:cs="仿宋_GB2312"/>
                <w:caps w:val="0"/>
                <w:spacing w:val="0"/>
                <w:sz w:val="28"/>
                <w:szCs w:val="28"/>
                <w:lang w:val="en-US"/>
              </w:rPr>
            </w:pPr>
            <w:r>
              <w:rPr>
                <w:rFonts w:hint="eastAsia" w:ascii="仿宋_GB2312" w:hAnsi="仿宋_GB2312" w:eastAsia="仿宋_GB2312" w:cs="仿宋_GB2312"/>
                <w:caps w:val="0"/>
                <w:spacing w:val="0"/>
                <w:kern w:val="0"/>
                <w:sz w:val="28"/>
                <w:szCs w:val="28"/>
                <w:lang w:val="en-US" w:eastAsia="zh-CN" w:bidi="ar"/>
              </w:rPr>
              <w:t>近一年服务单位满意度80分以上证明</w:t>
            </w:r>
          </w:p>
        </w:tc>
        <w:tc>
          <w:tcPr>
            <w:tcW w:w="744" w:type="dxa"/>
            <w:tcBorders>
              <w:tl2br w:val="nil"/>
              <w:tr2bl w:val="nil"/>
            </w:tcBorders>
            <w:shd w:val="clear" w:color="auto" w:fill="auto"/>
            <w:vAlign w:val="center"/>
          </w:tcPr>
          <w:p w14:paraId="761022E5">
            <w:pPr>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jc w:val="left"/>
              <w:textAlignment w:val="auto"/>
              <w:rPr>
                <w:rFonts w:hint="eastAsia" w:ascii="仿宋_GB2312" w:hAnsi="仿宋_GB2312" w:eastAsia="仿宋_GB2312" w:cs="仿宋_GB2312"/>
                <w:caps w:val="0"/>
                <w:spacing w:val="0"/>
                <w:sz w:val="28"/>
                <w:szCs w:val="28"/>
              </w:rPr>
            </w:pPr>
            <w:r>
              <w:rPr>
                <w:rFonts w:hint="eastAsia" w:ascii="仿宋_GB2312" w:hAnsi="仿宋_GB2312" w:eastAsia="仿宋_GB2312" w:cs="仿宋_GB2312"/>
                <w:caps w:val="0"/>
                <w:spacing w:val="0"/>
                <w:kern w:val="0"/>
                <w:sz w:val="28"/>
                <w:szCs w:val="28"/>
                <w:lang w:val="en-US" w:eastAsia="zh-CN" w:bidi="ar"/>
              </w:rPr>
              <w:t>5</w:t>
            </w:r>
          </w:p>
        </w:tc>
        <w:tc>
          <w:tcPr>
            <w:tcW w:w="6912" w:type="dxa"/>
            <w:tcBorders>
              <w:tl2br w:val="nil"/>
              <w:tr2bl w:val="nil"/>
            </w:tcBorders>
            <w:shd w:val="clear" w:color="auto" w:fill="auto"/>
            <w:vAlign w:val="center"/>
          </w:tcPr>
          <w:p w14:paraId="556C4F25">
            <w:pPr>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jc w:val="left"/>
              <w:textAlignment w:val="auto"/>
              <w:rPr>
                <w:rFonts w:hint="default" w:ascii="仿宋_GB2312" w:hAnsi="仿宋_GB2312" w:eastAsia="仿宋_GB2312" w:cs="仿宋_GB2312"/>
                <w:caps w:val="0"/>
                <w:spacing w:val="0"/>
                <w:sz w:val="28"/>
                <w:szCs w:val="28"/>
                <w:lang w:val="en-US"/>
              </w:rPr>
            </w:pPr>
            <w:r>
              <w:rPr>
                <w:rFonts w:hint="eastAsia" w:ascii="仿宋_GB2312" w:hAnsi="仿宋_GB2312" w:eastAsia="仿宋_GB2312" w:cs="仿宋_GB2312"/>
                <w:caps w:val="0"/>
                <w:spacing w:val="0"/>
                <w:kern w:val="0"/>
                <w:sz w:val="28"/>
                <w:szCs w:val="28"/>
                <w:lang w:val="en-US" w:eastAsia="zh-CN" w:bidi="ar"/>
              </w:rPr>
              <w:t>投标人在投标文件中提供2023年1月1日以来（以合同签订时间为准）业绩项目所服务医院出具的满意度证明，，80-84分得2分，85-89分得3分，90分以上得5分。80分（不含）以下或者未提供，不得分。</w:t>
            </w:r>
          </w:p>
        </w:tc>
      </w:tr>
    </w:tbl>
    <w:p w14:paraId="01280139">
      <w:pPr>
        <w:rPr>
          <w:rFonts w:hint="eastAsia" w:ascii="仿宋_GB2312" w:hAnsi="仿宋_GB2312" w:eastAsia="仿宋_GB2312" w:cs="仿宋_GB2312"/>
          <w:sz w:val="28"/>
          <w:szCs w:val="28"/>
        </w:rPr>
      </w:pPr>
    </w:p>
    <w:sectPr>
      <w:pgSz w:w="11906" w:h="16838"/>
      <w:pgMar w:top="1701" w:right="1474" w:bottom="1134" w:left="1587"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B82797"/>
    <w:rsid w:val="05534353"/>
    <w:rsid w:val="11B82797"/>
    <w:rsid w:val="1E351D4E"/>
    <w:rsid w:val="337D17EF"/>
    <w:rsid w:val="35B40135"/>
    <w:rsid w:val="419220D5"/>
    <w:rsid w:val="68D51A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仿宋" w:eastAsia="仿宋" w:cs="仿宋"/>
      <w:kern w:val="2"/>
      <w:sz w:val="32"/>
      <w:szCs w:val="32"/>
      <w:lang w:val="en-US" w:eastAsia="zh-CN" w:bidi="ar-SA"/>
    </w:rPr>
  </w:style>
  <w:style w:type="character" w:default="1" w:styleId="4">
    <w:name w:val="Default Paragraph Font"/>
    <w:semiHidden/>
    <w:uiPriority w:val="0"/>
    <w:rPr>
      <w:rFonts w:ascii="仿宋" w:hAnsi="仿宋" w:eastAsia="仿宋" w:cs="仿宋"/>
      <w:sz w:val="32"/>
      <w:szCs w:val="32"/>
    </w:rPr>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Company>
  <Pages>3</Pages>
  <Words>1493</Words>
  <Characters>1538</Characters>
  <Lines>0</Lines>
  <Paragraphs>0</Paragraphs>
  <TotalTime>13</TotalTime>
  <ScaleCrop>false</ScaleCrop>
  <LinksUpToDate>false</LinksUpToDate>
  <CharactersWithSpaces>1539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2024-11-05T00:17:00Z</dcterms:created>
  <dc:creator>普通用户</dc:creator>
  <cp:lastModifiedBy>Administrator</cp:lastModifiedBy>
  <cp:lastPrinted>2024-11-07T00:45:00Z</cp:lastPrinted>
  <dcterms:modified xsi:type="dcterms:W3CDTF">2024-11-08T08:48:01Z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33561A9ADE6541A4823ABC36BD6808E9_13</vt:lpwstr>
  </property>
</Properties>
</file>