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jc w:val="center"/>
        <w:textAlignment w:val="auto"/>
        <w:rPr>
          <w:rFonts w:hint="eastAsia" w:ascii="宋体" w:hAnsi="宋体" w:cs="宋体"/>
          <w:b/>
          <w:bCs/>
          <w:color w:val="auto"/>
          <w:spacing w:val="20"/>
          <w:sz w:val="44"/>
          <w:szCs w:val="44"/>
          <w:lang w:eastAsia="zh-CN"/>
        </w:rPr>
      </w:pPr>
      <w:r>
        <w:rPr>
          <w:rFonts w:hint="eastAsia" w:ascii="宋体" w:hAnsi="宋体" w:eastAsia="宋体" w:cs="宋体"/>
          <w:b/>
          <w:bCs/>
          <w:color w:val="auto"/>
          <w:spacing w:val="20"/>
          <w:sz w:val="44"/>
          <w:szCs w:val="44"/>
          <w:lang w:eastAsia="zh-CN"/>
        </w:rPr>
        <w:t>泉州市光前医院安全生产</w:t>
      </w:r>
      <w:r>
        <w:rPr>
          <w:rFonts w:hint="eastAsia" w:ascii="宋体" w:hAnsi="宋体" w:cs="宋体"/>
          <w:b/>
          <w:bCs/>
          <w:color w:val="auto"/>
          <w:spacing w:val="20"/>
          <w:sz w:val="44"/>
          <w:szCs w:val="44"/>
          <w:lang w:eastAsia="zh-CN"/>
        </w:rPr>
        <w:t>工作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jc w:val="center"/>
        <w:textAlignment w:val="auto"/>
        <w:rPr>
          <w:rFonts w:hint="eastAsia" w:ascii="宋体" w:hAnsi="宋体" w:eastAsia="宋体" w:cs="宋体"/>
          <w:b/>
          <w:bCs/>
          <w:color w:val="auto"/>
          <w:sz w:val="44"/>
          <w:szCs w:val="44"/>
          <w:lang w:val="en-GB"/>
        </w:rPr>
      </w:pPr>
      <w:r>
        <w:rPr>
          <w:rFonts w:hint="eastAsia" w:ascii="宋体" w:hAnsi="宋体" w:cs="宋体"/>
          <w:b/>
          <w:bCs/>
          <w:color w:val="auto"/>
          <w:spacing w:val="20"/>
          <w:sz w:val="44"/>
          <w:szCs w:val="44"/>
          <w:lang w:eastAsia="zh-CN"/>
        </w:rPr>
        <w:t>第三方服务</w:t>
      </w:r>
      <w:r>
        <w:rPr>
          <w:rFonts w:hint="eastAsia" w:ascii="宋体" w:hAnsi="宋体" w:eastAsia="宋体" w:cs="宋体"/>
          <w:b/>
          <w:bCs/>
          <w:color w:val="auto"/>
          <w:sz w:val="44"/>
          <w:szCs w:val="44"/>
          <w:lang w:val="en-GB"/>
        </w:rPr>
        <w:t>实施方案</w:t>
      </w:r>
    </w:p>
    <w:p>
      <w:pPr>
        <w:pageBreakBefore w:val="0"/>
        <w:kinsoku/>
        <w:overflowPunct/>
        <w:topLinePunct w:val="0"/>
        <w:bidi w:val="0"/>
        <w:snapToGrid/>
        <w:spacing w:line="360" w:lineRule="auto"/>
        <w:ind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GB"/>
        </w:rPr>
      </w:pPr>
    </w:p>
    <w:p>
      <w:pPr>
        <w:pageBreakBefore w:val="0"/>
        <w:kinsoku/>
        <w:overflowPunct/>
        <w:topLinePunct w:val="0"/>
        <w:bidi w:val="0"/>
        <w:snapToGrid/>
        <w:spacing w:line="360" w:lineRule="auto"/>
        <w:ind w:firstLine="640" w:firstLineChars="200"/>
        <w:jc w:val="both"/>
        <w:textAlignment w:val="auto"/>
        <w:outlineLvl w:val="0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</w:rPr>
        <w:t>一、目的</w:t>
      </w:r>
    </w:p>
    <w:p>
      <w:pPr>
        <w:pageBreakBefore w:val="0"/>
        <w:kinsoku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640" w:firstLineChars="200"/>
        <w:jc w:val="both"/>
        <w:textAlignment w:val="auto"/>
        <w:rPr>
          <w:rFonts w:eastAsia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协助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泉州市光前医院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建立较为完善、有效运行的安全生产风险分级管控体系，全面融入“泉州市智慧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平台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”信息系统平台管理，逐步形成“点、线、面”有机结合、标准化和信息化共同支撑的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</w:rPr>
        <w:t>安全风险分级管控体系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；协助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泉州市光前医院建设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与加强本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单位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</w:rPr>
        <w:t>安全隐患排查治理体系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，强化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医院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安全生产主体责任，防止和减少事故；协助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医院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建设安全生产标准化体系，通过落实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医院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安全生产主体责任，通过全员全过程参与，建立并保持安全生产管理体系，全面管控生产经营活动各环节的安全生产工作，持续改进安全生产管理水平；通过安全生产风险分级管控体系、隐患排查治理体系、安全生产标准化体系，提高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医院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本质安全水平，提升事故防范和安全管理能力。</w:t>
      </w:r>
    </w:p>
    <w:p>
      <w:pPr>
        <w:pageBreakBefore w:val="0"/>
        <w:kinsoku/>
        <w:overflowPunct/>
        <w:topLinePunct w:val="0"/>
        <w:bidi w:val="0"/>
        <w:snapToGrid/>
        <w:spacing w:line="360" w:lineRule="auto"/>
        <w:ind w:firstLine="640" w:firstLineChars="200"/>
        <w:jc w:val="both"/>
        <w:textAlignment w:val="auto"/>
        <w:outlineLvl w:val="0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</w:rPr>
        <w:t>二、服务</w:t>
      </w: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eastAsia="zh-CN"/>
        </w:rPr>
        <w:t>项目</w:t>
      </w:r>
    </w:p>
    <w:p>
      <w:pPr>
        <w:pageBreakBefore w:val="0"/>
        <w:kinsoku/>
        <w:overflowPunct/>
        <w:topLinePunct w:val="0"/>
        <w:bidi w:val="0"/>
        <w:snapToGrid/>
        <w:spacing w:line="360" w:lineRule="auto"/>
        <w:ind w:firstLine="640" w:firstLineChars="200"/>
        <w:jc w:val="both"/>
        <w:textAlignment w:val="auto"/>
        <w:outlineLvl w:val="1"/>
        <w:rPr>
          <w:rFonts w:hint="eastAsia" w:ascii="楷体_GB2312" w:hAnsi="楷体_GB2312" w:eastAsia="楷体_GB2312" w:cs="楷体_GB2312"/>
          <w:b/>
          <w:bCs w:val="0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第三方服务实施方案内容包括：泉州市光前医院安全生产双重预防机制建设（安全风险分级管控体系建设、安全隐患排查体系建设）、安全生产标准化体系建设、安全生产服务与咨询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GB" w:eastAsia="zh-CN"/>
        </w:rPr>
        <w:t>等。</w:t>
      </w:r>
    </w:p>
    <w:p>
      <w:pPr>
        <w:pageBreakBefore w:val="0"/>
        <w:kinsoku/>
        <w:overflowPunct/>
        <w:topLinePunct w:val="0"/>
        <w:bidi w:val="0"/>
        <w:snapToGrid/>
        <w:spacing w:line="360" w:lineRule="auto"/>
        <w:ind w:firstLine="643" w:firstLineChars="200"/>
        <w:jc w:val="both"/>
        <w:textAlignment w:val="auto"/>
        <w:outlineLvl w:val="1"/>
        <w:rPr>
          <w:rFonts w:hint="eastAsia" w:ascii="楷体_GB2312" w:hAnsi="楷体_GB2312" w:eastAsia="楷体_GB2312" w:cs="楷体_GB2312"/>
          <w:b/>
          <w:bCs w:val="0"/>
          <w:color w:val="auto"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b/>
          <w:bCs w:val="0"/>
          <w:color w:val="auto"/>
          <w:sz w:val="32"/>
          <w:szCs w:val="32"/>
        </w:rPr>
        <w:t>（一）</w:t>
      </w:r>
      <w:r>
        <w:rPr>
          <w:rFonts w:hint="eastAsia" w:ascii="楷体_GB2312" w:hAnsi="楷体_GB2312" w:eastAsia="楷体_GB2312" w:cs="楷体_GB2312"/>
          <w:b/>
          <w:bCs/>
          <w:color w:val="auto"/>
          <w:sz w:val="32"/>
          <w:szCs w:val="32"/>
        </w:rPr>
        <w:t>安全风险分级管控体系</w:t>
      </w:r>
      <w:r>
        <w:rPr>
          <w:rFonts w:hint="eastAsia" w:ascii="楷体_GB2312" w:hAnsi="楷体_GB2312" w:eastAsia="楷体_GB2312" w:cs="楷体_GB2312"/>
          <w:b/>
          <w:bCs/>
          <w:color w:val="auto"/>
          <w:sz w:val="32"/>
          <w:szCs w:val="32"/>
          <w:lang w:eastAsia="zh-CN"/>
        </w:rPr>
        <w:t>建设</w:t>
      </w:r>
    </w:p>
    <w:p>
      <w:pPr>
        <w:pageBreakBefore w:val="0"/>
        <w:kinsoku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对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泉州市光前医院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进行全面的安全生产风险进行辨识和评估，汇总建立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泉州市光前医院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安全生产风险数据库，形成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医院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安全生产风险点名册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。</w:t>
      </w:r>
    </w:p>
    <w:p>
      <w:pPr>
        <w:pageBreakBefore w:val="0"/>
        <w:kinsoku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根据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医院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安全生产风险点名册及管理台账等基础内容编制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医院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“一企一册”评估报告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。</w:t>
      </w:r>
    </w:p>
    <w:p>
      <w:pPr>
        <w:pageBreakBefore w:val="0"/>
        <w:kinsoku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3.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依据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医院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安全生产风险点名册绘制本单位“红、橙、黄、蓝”四色安全风险空间分布图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。</w:t>
      </w:r>
    </w:p>
    <w:p>
      <w:pPr>
        <w:pageBreakBefore w:val="0"/>
        <w:kinsoku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4.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依据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医院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安全生产风险点名册及作业现场制作风险点岗位告知卡。</w:t>
      </w:r>
    </w:p>
    <w:p>
      <w:pPr>
        <w:pageBreakBefore w:val="0"/>
        <w:kinsoku/>
        <w:overflowPunct/>
        <w:topLinePunct w:val="0"/>
        <w:bidi w:val="0"/>
        <w:snapToGrid/>
        <w:spacing w:line="360" w:lineRule="auto"/>
        <w:ind w:firstLine="643" w:firstLineChars="200"/>
        <w:jc w:val="both"/>
        <w:textAlignment w:val="auto"/>
        <w:outlineLvl w:val="1"/>
        <w:rPr>
          <w:rFonts w:hint="eastAsia" w:ascii="楷体_GB2312" w:hAnsi="楷体_GB2312" w:eastAsia="楷体_GB2312" w:cs="楷体_GB2312"/>
          <w:b/>
          <w:bCs/>
          <w:color w:val="auto"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color w:val="auto"/>
          <w:sz w:val="32"/>
          <w:szCs w:val="32"/>
          <w:lang w:val="en-US" w:eastAsia="zh-CN"/>
        </w:rPr>
        <w:t>（二）</w:t>
      </w:r>
      <w:r>
        <w:rPr>
          <w:rFonts w:hint="eastAsia" w:ascii="楷体_GB2312" w:hAnsi="楷体_GB2312" w:eastAsia="楷体_GB2312" w:cs="楷体_GB2312"/>
          <w:b/>
          <w:bCs/>
          <w:color w:val="auto"/>
          <w:sz w:val="32"/>
          <w:szCs w:val="32"/>
        </w:rPr>
        <w:t>安全隐患排查体系建设</w:t>
      </w:r>
    </w:p>
    <w:p>
      <w:pPr>
        <w:pageBreakBefore w:val="0"/>
        <w:kinsoku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医院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现场隐患排查提供技术指导，对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医院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现场进行全面的隐患排查，并记录隐患点情况及整改意见，协助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医院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建立健全安全生产隐患排查治理制度，逐级建立并落实隐患排查治理责任制以及登记建档、专用资金使用等管理制度，并明确隐患自查自报管理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部门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和责任人、联络人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。</w:t>
      </w:r>
    </w:p>
    <w:p>
      <w:pPr>
        <w:pageBreakBefore w:val="0"/>
        <w:kinsoku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复查取证协助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医院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根据本行业安全生产隐患自查巡查基本指引标准，开展日常隐患排查治理工作，建立安全生产隐患排查治理台帐，记录隐患点整改情况。</w:t>
      </w:r>
    </w:p>
    <w:p>
      <w:pPr>
        <w:pageBreakBefore w:val="0"/>
        <w:kinsoku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643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color w:val="auto"/>
          <w:sz w:val="32"/>
          <w:szCs w:val="32"/>
          <w:lang w:val="en-US" w:eastAsia="zh-CN"/>
        </w:rPr>
        <w:t>（三）</w:t>
      </w:r>
      <w:r>
        <w:rPr>
          <w:rFonts w:hint="eastAsia" w:ascii="楷体_GB2312" w:hAnsi="楷体_GB2312" w:eastAsia="楷体_GB2312" w:cs="楷体_GB2312"/>
          <w:b/>
          <w:bCs/>
          <w:color w:val="auto"/>
          <w:sz w:val="32"/>
          <w:szCs w:val="32"/>
        </w:rPr>
        <w:t>安全</w:t>
      </w:r>
      <w:r>
        <w:rPr>
          <w:rFonts w:hint="eastAsia" w:ascii="楷体_GB2312" w:hAnsi="楷体_GB2312" w:eastAsia="楷体_GB2312" w:cs="楷体_GB2312"/>
          <w:b/>
          <w:bCs/>
          <w:color w:val="auto"/>
          <w:sz w:val="32"/>
          <w:szCs w:val="32"/>
          <w:lang w:eastAsia="zh-CN"/>
        </w:rPr>
        <w:t>生产标准化</w:t>
      </w:r>
      <w:r>
        <w:rPr>
          <w:rFonts w:hint="eastAsia" w:ascii="楷体_GB2312" w:hAnsi="楷体_GB2312" w:eastAsia="楷体_GB2312" w:cs="楷体_GB2312"/>
          <w:b/>
          <w:bCs/>
          <w:color w:val="auto"/>
          <w:sz w:val="32"/>
          <w:szCs w:val="32"/>
        </w:rPr>
        <w:t>体系建设</w:t>
      </w:r>
    </w:p>
    <w:p>
      <w:pPr>
        <w:pageBreakBefore w:val="0"/>
        <w:kinsoku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安全生产标准化体系建设主要包括以下内容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：</w:t>
      </w:r>
    </w:p>
    <w:p>
      <w:pPr>
        <w:pageBreakBefore w:val="0"/>
        <w:kinsoku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安全生产目标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。</w:t>
      </w:r>
    </w:p>
    <w:p>
      <w:pPr>
        <w:pageBreakBefore w:val="0"/>
        <w:kinsoku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组织机构和职责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。</w:t>
      </w:r>
    </w:p>
    <w:p>
      <w:pPr>
        <w:pageBreakBefore w:val="0"/>
        <w:kinsoku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3.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安全投入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。</w:t>
      </w:r>
    </w:p>
    <w:p>
      <w:pPr>
        <w:pageBreakBefore w:val="0"/>
        <w:kinsoku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4.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法规和安全管理制度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。</w:t>
      </w:r>
    </w:p>
    <w:p>
      <w:pPr>
        <w:pageBreakBefore w:val="0"/>
        <w:kinsoku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5.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教育培训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。</w:t>
      </w:r>
    </w:p>
    <w:p>
      <w:pPr>
        <w:pageBreakBefore w:val="0"/>
        <w:kinsoku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6.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生产设备设施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。</w:t>
      </w:r>
    </w:p>
    <w:p>
      <w:pPr>
        <w:pageBreakBefore w:val="0"/>
        <w:kinsoku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7.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作业安全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。</w:t>
      </w:r>
    </w:p>
    <w:p>
      <w:pPr>
        <w:pageBreakBefore w:val="0"/>
        <w:kinsoku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8.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隐患排查和治理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。</w:t>
      </w:r>
    </w:p>
    <w:p>
      <w:pPr>
        <w:pageBreakBefore w:val="0"/>
        <w:kinsoku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9.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重大危险源监控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。</w:t>
      </w:r>
    </w:p>
    <w:p>
      <w:pPr>
        <w:pageBreakBefore w:val="0"/>
        <w:kinsoku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10.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职业健康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。</w:t>
      </w:r>
    </w:p>
    <w:p>
      <w:pPr>
        <w:pageBreakBefore w:val="0"/>
        <w:kinsoku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11.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应急救援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。</w:t>
      </w:r>
    </w:p>
    <w:p>
      <w:pPr>
        <w:pageBreakBefore w:val="0"/>
        <w:kinsoku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12.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事故报告、调查和处理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。</w:t>
      </w:r>
    </w:p>
    <w:p>
      <w:pPr>
        <w:pageBreakBefore w:val="0"/>
        <w:kinsoku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13.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绩效考评与持续改进。</w:t>
      </w:r>
    </w:p>
    <w:p>
      <w:pPr>
        <w:pageBreakBefore w:val="0"/>
        <w:kinsoku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643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color w:val="auto"/>
          <w:sz w:val="32"/>
          <w:szCs w:val="32"/>
          <w:lang w:val="en-US" w:eastAsia="zh-CN"/>
        </w:rPr>
        <w:t>（四）</w:t>
      </w:r>
      <w:r>
        <w:rPr>
          <w:rFonts w:hint="eastAsia" w:ascii="楷体_GB2312" w:hAnsi="楷体_GB2312" w:eastAsia="楷体_GB2312" w:cs="楷体_GB2312"/>
          <w:b/>
          <w:bCs/>
          <w:color w:val="auto"/>
          <w:sz w:val="32"/>
          <w:szCs w:val="32"/>
        </w:rPr>
        <w:t>安全</w:t>
      </w:r>
      <w:r>
        <w:rPr>
          <w:rFonts w:hint="eastAsia" w:ascii="楷体_GB2312" w:hAnsi="楷体_GB2312" w:eastAsia="楷体_GB2312" w:cs="楷体_GB2312"/>
          <w:b/>
          <w:bCs/>
          <w:color w:val="auto"/>
          <w:sz w:val="32"/>
          <w:szCs w:val="32"/>
          <w:lang w:eastAsia="zh-CN"/>
        </w:rPr>
        <w:t>生产</w:t>
      </w:r>
      <w:r>
        <w:rPr>
          <w:rFonts w:hint="eastAsia" w:ascii="楷体_GB2312" w:hAnsi="楷体_GB2312" w:eastAsia="楷体_GB2312" w:cs="楷体_GB2312"/>
          <w:b/>
          <w:bCs/>
          <w:color w:val="auto"/>
          <w:sz w:val="32"/>
          <w:szCs w:val="32"/>
          <w:lang w:val="en-US" w:eastAsia="zh-CN"/>
        </w:rPr>
        <w:t>服务与咨询（服务期限：2024年7月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val="en-US" w:eastAsia="zh-CN"/>
        </w:rPr>
        <w:t>～</w:t>
      </w:r>
      <w:r>
        <w:rPr>
          <w:rFonts w:hint="eastAsia" w:ascii="楷体_GB2312" w:hAnsi="楷体_GB2312" w:eastAsia="楷体_GB2312" w:cs="楷体_GB2312"/>
          <w:b/>
          <w:bCs/>
          <w:color w:val="auto"/>
          <w:sz w:val="32"/>
          <w:szCs w:val="32"/>
          <w:lang w:val="en-US" w:eastAsia="zh-CN"/>
        </w:rPr>
        <w:t>2026年12月）</w:t>
      </w:r>
      <w:bookmarkStart w:id="0" w:name="_GoBack"/>
      <w:bookmarkEnd w:id="0"/>
    </w:p>
    <w:p>
      <w:pPr>
        <w:pageBreakBefore w:val="0"/>
        <w:kinsoku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现场安全检查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每月组织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一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次安全检查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并出具检查报告书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，涉及重点领域的如重大事故隐患、高温熔融金属、涉爆粉尘、有限空间、特种设备、危险化学品以及燃气等每个季度全面检查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一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次。</w:t>
      </w:r>
    </w:p>
    <w:p>
      <w:pPr>
        <w:pageBreakBefore w:val="0"/>
        <w:kinsoku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安全教育培训（根据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医院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时间安排服务期内进行一次全员安全培训，指导应急演练一次）。</w:t>
      </w:r>
    </w:p>
    <w:p>
      <w:pPr>
        <w:pageBreakBefore w:val="0"/>
        <w:kinsoku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3.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通过电话、微信、QQ、邮件等方式不限次数安全咨询交流（内容包括但不仅限于标准化、双重预防、应急管理、安全文化等）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。</w:t>
      </w:r>
    </w:p>
    <w:p>
      <w:pPr>
        <w:pageBreakBefore w:val="0"/>
        <w:kinsoku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643" w:firstLineChars="200"/>
        <w:jc w:val="both"/>
        <w:textAlignment w:val="auto"/>
        <w:rPr>
          <w:rFonts w:hint="eastAsia" w:ascii="楷体_GB2312" w:hAnsi="楷体_GB2312" w:eastAsia="楷体_GB2312" w:cs="楷体_GB2312"/>
          <w:b/>
          <w:bCs/>
          <w:color w:val="auto"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b/>
          <w:bCs/>
          <w:color w:val="auto"/>
          <w:sz w:val="32"/>
          <w:szCs w:val="32"/>
          <w:lang w:eastAsia="zh-CN"/>
        </w:rPr>
        <w:t>（五）项目人员配置</w:t>
      </w:r>
    </w:p>
    <w:p>
      <w:pPr>
        <w:pageBreakBefore w:val="0"/>
        <w:kinsoku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640" w:firstLineChars="200"/>
        <w:jc w:val="both"/>
        <w:textAlignment w:val="auto"/>
        <w:rPr>
          <w:rFonts w:eastAsia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本次现场资料收集、风险辨识每组至少配置2名工程技术人员，组长均为持有国家注册安全工程师资格证或国家安全评价师资格证。</w:t>
      </w:r>
    </w:p>
    <w:p>
      <w:pPr>
        <w:pageBreakBefore w:val="0"/>
        <w:kinsoku/>
        <w:overflowPunct/>
        <w:topLinePunct w:val="0"/>
        <w:bidi w:val="0"/>
        <w:snapToGrid/>
        <w:spacing w:line="360" w:lineRule="auto"/>
        <w:ind w:firstLine="640" w:firstLineChars="200"/>
        <w:jc w:val="both"/>
        <w:textAlignment w:val="auto"/>
        <w:outlineLvl w:val="0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</w:rPr>
        <w:t xml:space="preserve">三、实施步骤 </w:t>
      </w:r>
    </w:p>
    <w:p>
      <w:pPr>
        <w:pStyle w:val="3"/>
        <w:keepNext w:val="0"/>
        <w:keepLines w:val="0"/>
        <w:pageBreakBefore w:val="0"/>
        <w:kinsoku/>
        <w:wordWrap w:val="0"/>
        <w:overflowPunct/>
        <w:topLinePunct w:val="0"/>
        <w:bidi w:val="0"/>
        <w:snapToGrid/>
        <w:spacing w:before="0" w:line="360" w:lineRule="auto"/>
        <w:ind w:firstLine="643" w:firstLineChars="200"/>
        <w:jc w:val="both"/>
        <w:textAlignment w:val="auto"/>
        <w:rPr>
          <w:rFonts w:hint="eastAsia" w:ascii="楷体_GB2312" w:hAnsi="楷体_GB2312" w:eastAsia="楷体_GB2312" w:cs="楷体_GB2312"/>
          <w:color w:val="auto"/>
          <w:sz w:val="32"/>
          <w:szCs w:val="32"/>
        </w:rPr>
      </w:pPr>
      <w:r>
        <w:rPr>
          <w:rFonts w:hint="eastAsia" w:ascii="楷体_GB2312" w:hAnsi="楷体_GB2312" w:eastAsia="楷体_GB2312" w:cs="楷体_GB2312"/>
          <w:color w:val="auto"/>
          <w:sz w:val="32"/>
          <w:szCs w:val="32"/>
        </w:rPr>
        <w:t>（一）动员部署</w:t>
      </w:r>
    </w:p>
    <w:p>
      <w:pPr>
        <w:pageBreakBefore w:val="0"/>
        <w:kinsoku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1.成立辨识与评估小组</w:t>
      </w:r>
    </w:p>
    <w:p>
      <w:pPr>
        <w:pageBreakBefore w:val="0"/>
        <w:kinsoku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组织本公司的注册安全工程师（安全评价师）、专业技术人员等成立评估小组：</w:t>
      </w:r>
    </w:p>
    <w:p>
      <w:pPr>
        <w:pageBreakBefore w:val="0"/>
        <w:kinsoku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组长：注册安全工程师（安全评价师）  </w:t>
      </w:r>
    </w:p>
    <w:p>
      <w:pPr>
        <w:pageBreakBefore w:val="0"/>
        <w:kinsoku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组员：专业技术人员 </w:t>
      </w:r>
    </w:p>
    <w:p>
      <w:pPr>
        <w:pageBreakBefore w:val="0"/>
        <w:kinsoku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2.制定总体工作程序</w:t>
      </w:r>
    </w:p>
    <w:p>
      <w:pPr>
        <w:pageBreakBefore w:val="0"/>
        <w:kinsoku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根据行业主管部门制定的行业（领域、专业）安全生产风险分级管控实施细则、相关行业标准、安全生产标准化评定标准、生产经营单位生产安全事故应急预案编制导则等，制定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医院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安全风险分级管控、隐患排查治理、安全生产标准化和应急预案的总体工作程序，确定工作内容、工作步骤和保障措施，认真落实工作安排。</w:t>
      </w:r>
    </w:p>
    <w:p>
      <w:pPr>
        <w:pageBreakBefore w:val="0"/>
        <w:kinsoku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3.召开动员部署会议</w:t>
      </w:r>
    </w:p>
    <w:p>
      <w:pPr>
        <w:pageBreakBefore w:val="0"/>
        <w:kinsoku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召开由评估小组全体成员参加的动员会议，对小组成员工作任务进行专项部署。</w:t>
      </w:r>
    </w:p>
    <w:p>
      <w:pPr>
        <w:pageBreakBefore w:val="0"/>
        <w:kinsoku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4.开展初步摸底排查</w:t>
      </w:r>
    </w:p>
    <w:p>
      <w:pPr>
        <w:pageBreakBefore w:val="0"/>
        <w:kinsoku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评估小组收集本单位的基本情况，按照泉州市行业主管部门制定的行业（领域、专业）安全生产风险分级管控实施细则、相关行业标准、安全生产标准化评定标准、生产经营单位生产安全事故应急预案编制导则等，结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医院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的实际情况进行初步摸底排查，初步辨识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医院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危险因素情况和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医院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安全管理情况等，将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医院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安全风险辨识登记建档。</w:t>
      </w:r>
    </w:p>
    <w:p>
      <w:pPr>
        <w:pageBreakBefore w:val="0"/>
        <w:kinsoku/>
        <w:wordWrap w:val="0"/>
        <w:overflowPunct/>
        <w:topLinePunct w:val="0"/>
        <w:bidi w:val="0"/>
        <w:snapToGrid/>
        <w:spacing w:line="360" w:lineRule="auto"/>
        <w:ind w:firstLine="643" w:firstLineChars="200"/>
        <w:jc w:val="both"/>
        <w:textAlignment w:val="auto"/>
        <w:outlineLvl w:val="1"/>
        <w:rPr>
          <w:rFonts w:hint="eastAsia" w:ascii="楷体_GB2312" w:hAnsi="楷体_GB2312" w:eastAsia="楷体_GB2312" w:cs="楷体_GB2312"/>
          <w:b/>
          <w:bCs/>
          <w:color w:val="auto"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color w:val="auto"/>
          <w:sz w:val="32"/>
          <w:szCs w:val="32"/>
        </w:rPr>
        <w:t>（二）集中攻坚</w:t>
      </w:r>
    </w:p>
    <w:p>
      <w:pPr>
        <w:pageBreakBefore w:val="0"/>
        <w:kinsoku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1.开展风险辨识</w:t>
      </w:r>
    </w:p>
    <w:p>
      <w:pPr>
        <w:pageBreakBefore w:val="0"/>
        <w:kinsoku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在初步安全风险辨识的基础上，评估工作小组深入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医院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现场，逐一对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医院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进行风险辨识，对初步辨识中遗漏或与实际不符的部分进行补充、修正，逐一登记建档，逐一进行标识。</w:t>
      </w:r>
    </w:p>
    <w:p>
      <w:pPr>
        <w:pageBreakBefore w:val="0"/>
        <w:kinsoku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2.风险分级</w:t>
      </w:r>
    </w:p>
    <w:p>
      <w:pPr>
        <w:pageBreakBefore w:val="0"/>
        <w:kinsoku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利用JHA、SCL两种风险评价方法，并利用LSR对排查出来的风险点进行分级，将安全生产风险等级划分为重大风险、较大风险、一般风险和低风险，分别用红、橙、黄、蓝四种颜色标示，并依据安全生产风险类别和等级建立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医院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安全生产风险数据库，绘制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医院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“红、橙、黄、蓝”四色安全生产风险空间分布图。</w:t>
      </w:r>
    </w:p>
    <w:p>
      <w:pPr>
        <w:pageBreakBefore w:val="0"/>
        <w:kinsoku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3.制定安全风险管控措施</w:t>
      </w:r>
    </w:p>
    <w:p>
      <w:pPr>
        <w:pageBreakBefore w:val="0"/>
        <w:kinsoku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针对风险类别和等级，制定科学、合理、安全的管控措施（包括制度管理措施、工程技术措施、在线监测措施、视频监控措施、自动化控制措施、应急管理措施等），将风险点逐一明确管控层级，落实具体的责任单位、责任人和形成“一企一册”的评估报告，协助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医院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按时间节点上报“泉州市智慧安监”信息系统平台进行备案。 </w:t>
      </w:r>
    </w:p>
    <w:p>
      <w:pPr>
        <w:pageBreakBefore w:val="0"/>
        <w:kinsoku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4.做好风险评估情况宣贯、公告警示</w:t>
      </w:r>
    </w:p>
    <w:p>
      <w:pPr>
        <w:pageBreakBefore w:val="0"/>
        <w:kinsoku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协助采取多种形式，对辨识评估出的主要风险点、风险类别、风险等级、管控措施和应急措施进行宣贯培训，确保各村负责人熟悉本村风险点基本情况及防范、应急对策。在存在安全生产风险的位置设置告知卡，标明本村主要危险有害因素、后果、事故预防及应急措施、报告电话等内容。</w:t>
      </w:r>
    </w:p>
    <w:p>
      <w:pPr>
        <w:pageBreakBefore w:val="0"/>
        <w:kinsoku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5.建立隐患排查治理机制</w:t>
      </w:r>
    </w:p>
    <w:p>
      <w:pPr>
        <w:pageBreakBefore w:val="0"/>
        <w:kinsoku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在风险辨识阶段开展安全隐患系统排查，逐项制定排查整改方案，提出整改措施，明确整改完成时限，并督促落实整改。确定风险评估等级后，协助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医院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对各个风险点制订隐患排查治理制度、标准和清单，明确各部门排查范围和要求，建立起全员参与、全岗位覆盖、全过程衔接的闭环管理隐患排查治理机制，实现隐患自查自改自报常态化。</w:t>
      </w:r>
    </w:p>
    <w:p>
      <w:pPr>
        <w:pageBreakBefore w:val="0"/>
        <w:kinsoku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6.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编制安全生产标准化体系</w:t>
      </w:r>
    </w:p>
    <w:p>
      <w:pPr>
        <w:pageBreakBefore w:val="0"/>
        <w:kinsoku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在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医院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资料收集整理、现场隐患排查治理后的基础上，根据本行业的安全生产标准化评定标准，编制本行业的安全生产标准化档案资料。</w:t>
      </w:r>
    </w:p>
    <w:p>
      <w:pPr>
        <w:pageBreakBefore w:val="0"/>
        <w:kinsoku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7.编制应急预案并强化应急演练</w:t>
      </w:r>
    </w:p>
    <w:p>
      <w:pPr>
        <w:pageBreakBefore w:val="0"/>
        <w:kinsoku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640" w:firstLineChars="200"/>
        <w:jc w:val="both"/>
        <w:textAlignment w:val="auto"/>
        <w:rPr>
          <w:rFonts w:eastAsia="仿宋_GB2312"/>
          <w:color w:val="auto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协助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医院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在风险评估的基础上，编制有针对性的应急预案。对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医院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应急管理上存在的不足，提出可行有效的提升改进方案。对重点风险点要制定应急处置卡，并督促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医院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每年至少组织一次应急演练。</w:t>
      </w:r>
    </w:p>
    <w:p>
      <w:pPr>
        <w:pageBreakBefore w:val="0"/>
        <w:kinsoku/>
        <w:wordWrap w:val="0"/>
        <w:overflowPunct/>
        <w:topLinePunct w:val="0"/>
        <w:bidi w:val="0"/>
        <w:snapToGrid/>
        <w:spacing w:line="360" w:lineRule="auto"/>
        <w:ind w:firstLine="643" w:firstLineChars="200"/>
        <w:jc w:val="both"/>
        <w:textAlignment w:val="auto"/>
        <w:rPr>
          <w:rFonts w:hint="eastAsia" w:ascii="楷体_GB2312" w:hAnsi="楷体_GB2312" w:eastAsia="楷体_GB2312" w:cs="楷体_GB2312"/>
          <w:b/>
          <w:bCs/>
          <w:color w:val="auto"/>
          <w:kern w:val="0"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color w:val="auto"/>
          <w:kern w:val="0"/>
          <w:sz w:val="32"/>
          <w:szCs w:val="32"/>
        </w:rPr>
        <w:t>（三）综合分析</w:t>
      </w:r>
    </w:p>
    <w:p>
      <w:pPr>
        <w:pageBreakBefore w:val="0"/>
        <w:kinsoku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1.综合分析确定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医院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安全生产风险等级，汇总建立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泉州市光前医院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 安全生产风险数据库、绘制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泉州市光前医院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 “红、橙、黄、蓝”四色安全生产风险分布图。</w:t>
      </w:r>
    </w:p>
    <w:p>
      <w:pPr>
        <w:pageBreakBefore w:val="0"/>
        <w:kinsoku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2.综合编制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泉州市光前医院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“一企一册”的安全生产风险评估报告和风险点名册。</w:t>
      </w:r>
    </w:p>
    <w:p>
      <w:pPr>
        <w:pageBreakBefore w:val="0"/>
        <w:kinsoku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3.编制适合本单位安全生产工作的安全生产标准化体系资料。</w:t>
      </w:r>
    </w:p>
    <w:p>
      <w:pPr>
        <w:pStyle w:val="2"/>
        <w:pageBreakBefore w:val="0"/>
        <w:kinsoku/>
        <w:overflowPunct/>
        <w:topLinePunct w:val="0"/>
        <w:bidi w:val="0"/>
        <w:snapToGrid/>
        <w:spacing w:before="0" w:after="0" w:line="360" w:lineRule="auto"/>
        <w:ind w:firstLine="656" w:firstLineChars="200"/>
        <w:jc w:val="both"/>
        <w:textAlignment w:val="auto"/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</w:rPr>
        <w:t>四、服务</w:t>
      </w: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lang w:eastAsia="zh-CN"/>
        </w:rPr>
        <w:t>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一要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高度重视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泉州市光前医院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安全生产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工作第三方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服务项目，组织强有力的专家技术力量为检查组作出技术支持，确保在开展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泉州市光前医院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安全生产服务项目中提供足够的各种资源，包括人员、技术、设备、交通工具、法律法规数据库、资讯、通讯工具、影像器材、办公设施等。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二要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高度重视服务工作质量，严格过程质量控制，严格遵守职业道德，严格遵守各级政府主管部门对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安全生产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工作的具体要求和规定，确保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泉州市光前医院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安全生产服务项目在规定的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时限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内顺利完成。</w:t>
      </w:r>
    </w:p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3" w:usb2="00000009" w:usb3="00000000" w:csb0="400001FF" w:csb1="FFFF0000"/>
  </w:font>
  <w:font w:name="宋体">
    <w:panose1 w:val="02010600030101010101"/>
    <w:charset w:val="88"/>
    <w:family w:val="script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4849495</wp:posOffset>
              </wp:positionH>
              <wp:positionV relativeFrom="paragraph">
                <wp:posOffset>-37465</wp:posOffset>
              </wp:positionV>
              <wp:extent cx="424815" cy="299085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24815" cy="29908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sz w:val="24"/>
                              <w:szCs w:val="24"/>
                            </w:rPr>
                            <w:t>1</w: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upright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381.85pt;margin-top:-2.95pt;height:23.55pt;width:33.45pt;mso-position-horizontal-relative:margin;z-index:251659264;mso-width-relative:page;mso-height-relative:page;" filled="f" stroked="f" coordsize="21600,21600" o:gfxdata="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">
              <v:fill on="f" focussize="0,0"/>
              <v:stroke on="f" weight="0.5pt"/>
              <v:imagedata o:title=""/>
              <o:lock v:ext="edit" aspectratio="f"/>
              <v:textbox inset="0mm,0mm,0mm,0mm">
                <w:txbxContent>
                  <w:p>
                    <w:pPr>
                      <w:pStyle w:val="7"/>
                      <w:rPr>
                        <w:sz w:val="24"/>
                        <w:szCs w:val="24"/>
                      </w:rPr>
                    </w:pPr>
                    <w:r>
                      <w:rPr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sz w:val="24"/>
                        <w:szCs w:val="24"/>
                      </w:rPr>
                      <w:t>1</w:t>
                    </w:r>
                    <w:r>
                      <w:rPr>
                        <w:sz w:val="24"/>
                        <w:szCs w:val="24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>
    <w:pPr>
      <w:pStyle w:val="7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Q1OGI3MGM3ZjIzZDNiYjIzN2QyYjRiNTEzMDExYzMifQ=="/>
  </w:docVars>
  <w:rsids>
    <w:rsidRoot w:val="0A281010"/>
    <w:rsid w:val="00150FDF"/>
    <w:rsid w:val="00182488"/>
    <w:rsid w:val="00191A46"/>
    <w:rsid w:val="00196B05"/>
    <w:rsid w:val="008B3FC9"/>
    <w:rsid w:val="00C9473B"/>
    <w:rsid w:val="00E071CF"/>
    <w:rsid w:val="00EC4D54"/>
    <w:rsid w:val="00F26C16"/>
    <w:rsid w:val="050E6753"/>
    <w:rsid w:val="07203837"/>
    <w:rsid w:val="0A281010"/>
    <w:rsid w:val="19AC74E4"/>
    <w:rsid w:val="1F5F550C"/>
    <w:rsid w:val="27A87D9F"/>
    <w:rsid w:val="3AAB7C71"/>
    <w:rsid w:val="40585267"/>
    <w:rsid w:val="431B7E80"/>
    <w:rsid w:val="43900941"/>
    <w:rsid w:val="623E092A"/>
    <w:rsid w:val="64070D76"/>
    <w:rsid w:val="70567B70"/>
    <w:rsid w:val="71181DD4"/>
    <w:rsid w:val="72B50E41"/>
    <w:rsid w:val="7FF217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20" w:after="40"/>
      <w:outlineLvl w:val="0"/>
    </w:pPr>
    <w:rPr>
      <w:rFonts w:ascii="Calibri Light" w:hAnsi="Calibri Light"/>
      <w:b/>
      <w:bCs/>
      <w:caps/>
      <w:spacing w:val="4"/>
      <w:sz w:val="28"/>
      <w:szCs w:val="28"/>
    </w:rPr>
  </w:style>
  <w:style w:type="paragraph" w:styleId="3">
    <w:name w:val="heading 2"/>
    <w:basedOn w:val="1"/>
    <w:next w:val="1"/>
    <w:qFormat/>
    <w:uiPriority w:val="0"/>
    <w:pPr>
      <w:keepNext/>
      <w:keepLines/>
      <w:spacing w:before="120"/>
      <w:outlineLvl w:val="1"/>
    </w:pPr>
    <w:rPr>
      <w:rFonts w:ascii="Calibri Light" w:hAnsi="Calibri Light"/>
      <w:b/>
      <w:bCs/>
      <w:sz w:val="28"/>
      <w:szCs w:val="28"/>
    </w:rPr>
  </w:style>
  <w:style w:type="character" w:default="1" w:styleId="11">
    <w:name w:val="Default Paragraph Font"/>
    <w:semiHidden/>
    <w:unhideWhenUsed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annotation text"/>
    <w:basedOn w:val="1"/>
    <w:uiPriority w:val="0"/>
    <w:pPr>
      <w:jc w:val="left"/>
    </w:pPr>
  </w:style>
  <w:style w:type="paragraph" w:styleId="5">
    <w:name w:val="Body Text"/>
    <w:basedOn w:val="1"/>
    <w:qFormat/>
    <w:uiPriority w:val="0"/>
    <w:pPr>
      <w:jc w:val="center"/>
    </w:pPr>
    <w:rPr>
      <w:rFonts w:ascii="宋体" w:hAnsi="宋体"/>
      <w:sz w:val="28"/>
      <w:lang w:val="en-GB"/>
    </w:rPr>
  </w:style>
  <w:style w:type="paragraph" w:styleId="6">
    <w:name w:val="Balloon Text"/>
    <w:basedOn w:val="1"/>
    <w:link w:val="14"/>
    <w:uiPriority w:val="0"/>
    <w:rPr>
      <w:sz w:val="18"/>
      <w:szCs w:val="18"/>
    </w:r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9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kern w:val="0"/>
      <w:sz w:val="24"/>
    </w:rPr>
  </w:style>
  <w:style w:type="character" w:styleId="12">
    <w:name w:val="page number"/>
    <w:basedOn w:val="11"/>
    <w:qFormat/>
    <w:uiPriority w:val="0"/>
  </w:style>
  <w:style w:type="character" w:styleId="13">
    <w:name w:val="annotation reference"/>
    <w:basedOn w:val="11"/>
    <w:uiPriority w:val="0"/>
    <w:rPr>
      <w:sz w:val="21"/>
      <w:szCs w:val="21"/>
    </w:rPr>
  </w:style>
  <w:style w:type="character" w:customStyle="1" w:styleId="14">
    <w:name w:val="批注框文本 Char"/>
    <w:basedOn w:val="11"/>
    <w:link w:val="6"/>
    <w:qFormat/>
    <w:uiPriority w:val="0"/>
    <w:rPr>
      <w:rFonts w:ascii="Times New Roman" w:hAnsi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2870</Words>
  <Characters>2917</Characters>
  <Lines>24</Lines>
  <Paragraphs>6</Paragraphs>
  <TotalTime>10</TotalTime>
  <ScaleCrop>false</ScaleCrop>
  <LinksUpToDate>false</LinksUpToDate>
  <CharactersWithSpaces>2924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2019-05-23T01:15:00Z</dcterms:created>
  <dc:creator>Administrator</dc:creator>
  <cp:lastModifiedBy>Administrator</cp:lastModifiedBy>
  <cp:lastPrinted>2024-06-14T00:25:22Z</cp:lastPrinted>
  <dcterms:modified xsi:type="dcterms:W3CDTF">2024-06-14T01:08:17Z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5CEB300A784748798ADE7CFDAEE6B88E_13</vt:lpwstr>
  </property>
</Properties>
</file>